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034F2E" w14:textId="77777777" w:rsidR="007112F5" w:rsidRPr="00B545DC" w:rsidRDefault="007112F5" w:rsidP="007112F5">
      <w:pPr>
        <w:pStyle w:val="berschrift1"/>
        <w:numPr>
          <w:ilvl w:val="0"/>
          <w:numId w:val="0"/>
        </w:numPr>
        <w:spacing w:before="120" w:after="120" w:line="480" w:lineRule="auto"/>
        <w:ind w:left="432" w:hanging="432"/>
        <w:rPr>
          <w:rFonts w:ascii="Arial" w:hAnsi="Arial" w:cs="Arial"/>
          <w:bCs w:val="0"/>
          <w:caps/>
          <w:color w:val="auto"/>
          <w:sz w:val="20"/>
          <w:szCs w:val="20"/>
          <w:lang w:val="en-US"/>
        </w:rPr>
      </w:pPr>
      <w:bookmarkStart w:id="0" w:name="_Ref14768272"/>
      <w:bookmarkStart w:id="1" w:name="_GoBack"/>
      <w:bookmarkEnd w:id="1"/>
      <w:r>
        <w:rPr>
          <w:rFonts w:ascii="Arial" w:hAnsi="Arial" w:cs="Arial"/>
          <w:bCs w:val="0"/>
          <w:caps/>
          <w:color w:val="auto"/>
          <w:sz w:val="20"/>
          <w:szCs w:val="20"/>
          <w:lang w:val="en-US"/>
        </w:rPr>
        <w:t>Additional File 1</w:t>
      </w:r>
      <w:bookmarkEnd w:id="0"/>
    </w:p>
    <w:p w14:paraId="5E014604" w14:textId="77777777" w:rsidR="007112F5" w:rsidRPr="005D78BA" w:rsidRDefault="007112F5" w:rsidP="007112F5">
      <w:pPr>
        <w:pStyle w:val="HerStandard12"/>
        <w:spacing w:before="120" w:beforeAutospacing="0" w:after="120" w:afterAutospacing="0"/>
        <w:jc w:val="left"/>
        <w:rPr>
          <w:rFonts w:cs="Arial"/>
          <w:b/>
          <w:i/>
          <w:iCs/>
          <w:szCs w:val="20"/>
          <w:lang w:val="en-US"/>
        </w:rPr>
      </w:pPr>
      <w:r w:rsidRPr="005D78BA">
        <w:rPr>
          <w:rFonts w:cs="Arial"/>
          <w:b/>
          <w:i/>
          <w:iCs/>
          <w:szCs w:val="20"/>
          <w:lang w:val="en-US"/>
        </w:rPr>
        <w:t>1-Year Administrative Prevalence</w:t>
      </w:r>
    </w:p>
    <w:p w14:paraId="71E7EB08" w14:textId="77777777" w:rsidR="007112F5" w:rsidRPr="005D78BA" w:rsidRDefault="007112F5" w:rsidP="007112F5">
      <w:pPr>
        <w:pStyle w:val="HerStandard12"/>
        <w:spacing w:before="120" w:beforeAutospacing="0" w:after="120" w:afterAutospacing="0"/>
        <w:jc w:val="left"/>
        <w:rPr>
          <w:rFonts w:cs="Arial"/>
          <w:b/>
          <w:i/>
          <w:iCs/>
          <w:szCs w:val="20"/>
          <w:lang w:val="en-US"/>
        </w:rPr>
      </w:pPr>
      <w:r w:rsidRPr="005D78BA">
        <w:rPr>
          <w:rFonts w:cs="Arial"/>
          <w:b/>
          <w:i/>
          <w:iCs/>
          <w:szCs w:val="20"/>
          <w:lang w:val="en-US"/>
        </w:rPr>
        <w:t>Genital warts</w:t>
      </w:r>
    </w:p>
    <w:p w14:paraId="69307B1A" w14:textId="77777777" w:rsidR="007112F5" w:rsidRPr="005D78BA" w:rsidRDefault="007112F5" w:rsidP="007112F5">
      <w:pPr>
        <w:rPr>
          <w:rFonts w:ascii="Arial" w:hAnsi="Arial" w:cs="Arial"/>
          <w:lang w:val="en-US"/>
        </w:rPr>
      </w:pPr>
      <w:r w:rsidRPr="005D78BA">
        <w:rPr>
          <w:rFonts w:ascii="Arial" w:hAnsi="Arial" w:cs="Arial"/>
          <w:lang w:val="en-US"/>
        </w:rPr>
        <w:t>Younger birth cohorts had a lower 1-year APR compared with birth cohort 1989, except for birth cohort 1992. The 1-year APR in birth cohort 1989 was increasing constantly from age 23 (0.48% (0.37-0.60)) to 25 (0.62% (0.50-0.76)) years. While birth cohorts 1990 and 1991 showed a decrease of the 1-year APR from 23 to 25 years (from 0.49% (0.39-0.61) to 41% (0.32-0.52) in birth cohort 1990 and from 0.39% (0.30-0.51) to 0.30% (0.22-0.40) in birth cohort 1991), birth cohort 1992 (0.36% (0.27-0.47) to 0.42% (0.33-0.54)) showed an increase of the 1-year APR from 23-25 years as seen for birth cohort 1989 (</w:t>
      </w:r>
      <w:r w:rsidRPr="005D78BA">
        <w:rPr>
          <w:rFonts w:ascii="Arial" w:hAnsi="Arial" w:cs="Arial"/>
          <w:lang w:val="en-US"/>
        </w:rPr>
        <w:fldChar w:fldCharType="begin"/>
      </w:r>
      <w:r w:rsidRPr="005D78BA">
        <w:rPr>
          <w:rFonts w:ascii="Arial" w:hAnsi="Arial" w:cs="Arial"/>
          <w:lang w:val="en-US"/>
        </w:rPr>
        <w:instrText xml:space="preserve"> REF _Ref11230847 \h  \* MERGEFORMAT </w:instrText>
      </w:r>
      <w:r w:rsidRPr="005D78BA">
        <w:rPr>
          <w:rFonts w:ascii="Arial" w:hAnsi="Arial" w:cs="Arial"/>
          <w:lang w:val="en-US"/>
        </w:rPr>
      </w:r>
      <w:r w:rsidRPr="005D78BA">
        <w:rPr>
          <w:rFonts w:ascii="Arial" w:hAnsi="Arial" w:cs="Arial"/>
          <w:lang w:val="en-US"/>
        </w:rPr>
        <w:fldChar w:fldCharType="separate"/>
      </w:r>
      <w:r w:rsidRPr="005D78BA">
        <w:rPr>
          <w:rFonts w:ascii="Arial" w:hAnsi="Arial" w:cs="Arial"/>
          <w:lang w:val="en-US"/>
        </w:rPr>
        <w:t xml:space="preserve">Supplementary Figure </w:t>
      </w:r>
      <w:r w:rsidRPr="005D78BA">
        <w:rPr>
          <w:rFonts w:ascii="Arial" w:hAnsi="Arial" w:cs="Arial"/>
          <w:noProof/>
          <w:lang w:val="en-US"/>
        </w:rPr>
        <w:t>1</w:t>
      </w:r>
      <w:r w:rsidRPr="005D78BA">
        <w:rPr>
          <w:rFonts w:ascii="Arial" w:hAnsi="Arial" w:cs="Arial"/>
          <w:lang w:val="en-US"/>
        </w:rPr>
        <w:fldChar w:fldCharType="end"/>
      </w:r>
      <w:r w:rsidRPr="005D78BA">
        <w:rPr>
          <w:rFonts w:ascii="Arial" w:hAnsi="Arial" w:cs="Arial"/>
          <w:lang w:val="en-US"/>
        </w:rPr>
        <w:t>).</w:t>
      </w:r>
    </w:p>
    <w:p w14:paraId="03EF958D" w14:textId="77777777" w:rsidR="007112F5" w:rsidRPr="005D78BA" w:rsidRDefault="007112F5" w:rsidP="007112F5">
      <w:pPr>
        <w:pStyle w:val="Beschriftung"/>
        <w:numPr>
          <w:ilvl w:val="0"/>
          <w:numId w:val="0"/>
        </w:numPr>
        <w:spacing w:before="120" w:after="120" w:line="480" w:lineRule="auto"/>
        <w:outlineLvl w:val="9"/>
        <w:rPr>
          <w:rFonts w:ascii="Arial" w:hAnsi="Arial" w:cs="Arial"/>
          <w:color w:val="auto"/>
          <w:sz w:val="20"/>
          <w:szCs w:val="20"/>
          <w:lang w:val="en-US"/>
        </w:rPr>
      </w:pPr>
      <w:bookmarkStart w:id="2" w:name="_Ref11230847"/>
      <w:r w:rsidRPr="005D78BA">
        <w:rPr>
          <w:rFonts w:ascii="Arial" w:hAnsi="Arial" w:cs="Arial"/>
          <w:b/>
          <w:bCs/>
          <w:color w:val="auto"/>
          <w:sz w:val="20"/>
          <w:szCs w:val="20"/>
          <w:lang w:val="en-US"/>
        </w:rPr>
        <w:t xml:space="preserve">Supplementary Figure </w:t>
      </w:r>
      <w:r w:rsidRPr="005D78BA">
        <w:rPr>
          <w:rFonts w:ascii="Arial" w:hAnsi="Arial" w:cs="Arial"/>
          <w:b/>
          <w:bCs/>
          <w:color w:val="auto"/>
          <w:sz w:val="20"/>
          <w:szCs w:val="20"/>
        </w:rPr>
        <w:fldChar w:fldCharType="begin"/>
      </w:r>
      <w:r w:rsidRPr="005D78BA">
        <w:rPr>
          <w:rFonts w:ascii="Arial" w:hAnsi="Arial" w:cs="Arial"/>
          <w:b/>
          <w:bCs/>
          <w:color w:val="auto"/>
          <w:sz w:val="20"/>
          <w:szCs w:val="20"/>
          <w:lang w:val="en-US"/>
        </w:rPr>
        <w:instrText xml:space="preserve"> SEQ Supplementary_Figure \* ARABIC </w:instrText>
      </w:r>
      <w:r w:rsidRPr="005D78BA">
        <w:rPr>
          <w:rFonts w:ascii="Arial" w:hAnsi="Arial" w:cs="Arial"/>
          <w:b/>
          <w:bCs/>
          <w:color w:val="auto"/>
          <w:sz w:val="20"/>
          <w:szCs w:val="20"/>
        </w:rPr>
        <w:fldChar w:fldCharType="separate"/>
      </w:r>
      <w:r w:rsidRPr="005D78BA">
        <w:rPr>
          <w:rFonts w:ascii="Arial" w:hAnsi="Arial" w:cs="Arial"/>
          <w:b/>
          <w:bCs/>
          <w:noProof/>
          <w:color w:val="auto"/>
          <w:sz w:val="20"/>
          <w:szCs w:val="20"/>
          <w:lang w:val="en-US"/>
        </w:rPr>
        <w:t>1</w:t>
      </w:r>
      <w:r w:rsidRPr="005D78BA">
        <w:rPr>
          <w:rFonts w:ascii="Arial" w:hAnsi="Arial" w:cs="Arial"/>
          <w:b/>
          <w:bCs/>
          <w:color w:val="auto"/>
          <w:sz w:val="20"/>
          <w:szCs w:val="20"/>
        </w:rPr>
        <w:fldChar w:fldCharType="end"/>
      </w:r>
      <w:bookmarkEnd w:id="2"/>
      <w:r w:rsidRPr="005D78BA">
        <w:rPr>
          <w:rFonts w:ascii="Arial" w:hAnsi="Arial" w:cs="Arial"/>
          <w:color w:val="auto"/>
          <w:sz w:val="20"/>
          <w:szCs w:val="20"/>
          <w:lang w:val="en-US"/>
        </w:rPr>
        <w:t xml:space="preserve"> One-year administrative prevalence of genitals warts in women 23-25 years in Germany from 2012-2017</w:t>
      </w:r>
    </w:p>
    <w:p w14:paraId="1948F46D" w14:textId="30D7FDF1" w:rsidR="007112F5" w:rsidRPr="00F306FD" w:rsidRDefault="00F306FD" w:rsidP="007112F5">
      <w:pPr>
        <w:rPr>
          <w:rFonts w:ascii="Arial" w:hAnsi="Arial" w:cs="Arial"/>
          <w:lang w:val="en-US"/>
        </w:rPr>
      </w:pPr>
      <w:r w:rsidRPr="00F306FD">
        <w:rPr>
          <w:rFonts w:ascii="Arial" w:hAnsi="Arial" w:cs="Arial"/>
          <w:noProof/>
          <w:color w:val="000000"/>
        </w:rPr>
        <w:drawing>
          <wp:inline distT="0" distB="0" distL="0" distR="0" wp14:anchorId="4B802274" wp14:editId="73BB689E">
            <wp:extent cx="6120130" cy="2468245"/>
            <wp:effectExtent l="0" t="0" r="0" b="8255"/>
            <wp:docPr id="1" name="Diagramm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1128FF3-DBD9-4E12-998F-22909D7440B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sidRPr="00F306FD">
        <w:rPr>
          <w:rFonts w:ascii="Arial" w:hAnsi="Arial" w:cs="Arial"/>
          <w:noProof/>
          <w:lang w:val="en-US"/>
        </w:rPr>
        <w:t xml:space="preserve"> </w:t>
      </w:r>
    </w:p>
    <w:p w14:paraId="1ED5C7E6" w14:textId="77777777" w:rsidR="007112F5" w:rsidRPr="005D78BA" w:rsidRDefault="007112F5" w:rsidP="007112F5">
      <w:pPr>
        <w:pStyle w:val="HerStandard12"/>
        <w:spacing w:before="120" w:beforeAutospacing="0" w:after="120" w:afterAutospacing="0"/>
        <w:jc w:val="left"/>
        <w:rPr>
          <w:rFonts w:cs="Arial"/>
          <w:szCs w:val="20"/>
          <w:lang w:val="en-US"/>
        </w:rPr>
      </w:pPr>
    </w:p>
    <w:p w14:paraId="0A629547" w14:textId="77777777" w:rsidR="007112F5" w:rsidRPr="005D78BA" w:rsidRDefault="007112F5" w:rsidP="007112F5">
      <w:pPr>
        <w:pStyle w:val="HerStandard12"/>
        <w:spacing w:before="120" w:beforeAutospacing="0" w:after="120" w:afterAutospacing="0"/>
        <w:jc w:val="left"/>
        <w:rPr>
          <w:rFonts w:cs="Arial"/>
          <w:b/>
          <w:i/>
          <w:iCs/>
          <w:szCs w:val="20"/>
          <w:lang w:val="en-US"/>
        </w:rPr>
      </w:pPr>
      <w:r w:rsidRPr="005D78BA">
        <w:rPr>
          <w:rFonts w:cs="Arial"/>
          <w:b/>
          <w:i/>
          <w:iCs/>
          <w:szCs w:val="20"/>
          <w:lang w:val="en-US"/>
        </w:rPr>
        <w:t>Anogenital disease grade I</w:t>
      </w:r>
    </w:p>
    <w:p w14:paraId="03058CA7" w14:textId="77777777" w:rsidR="007112F5" w:rsidRPr="005D78BA" w:rsidRDefault="007112F5" w:rsidP="007112F5">
      <w:pPr>
        <w:rPr>
          <w:rFonts w:ascii="Arial" w:hAnsi="Arial" w:cs="Arial"/>
          <w:lang w:val="en-US"/>
        </w:rPr>
      </w:pPr>
      <w:r w:rsidRPr="005D78BA">
        <w:rPr>
          <w:rFonts w:ascii="Arial" w:hAnsi="Arial" w:cs="Arial"/>
          <w:lang w:val="en-US"/>
        </w:rPr>
        <w:t>Looking at single age years, the 1-year APR in birth cohort 1989 showed the highest increase from 23 (0.46% (0.36-0.58)) to 25 (0.72% (0.60-0,87)) years. While the 1-year APR in birth cohort 1990 increased slightly from 23 (0.64% (0.52-0.77)) to 25 (0.69% (0.56-0.83)) years, birth cohort 1991 indicated a decrease of 1-year APR from 23 (0.68% (0.56-0.83)) to 25 (0.56% (0.45-0.70)) years. The 1-year APR in birth cohort 1992 remained almost constantly (0.52% (0.41-0.65) at the age of 23 and 0.55% (0.43-0.68) at the age of 25) (</w:t>
      </w:r>
      <w:r w:rsidRPr="005D78BA">
        <w:rPr>
          <w:rFonts w:ascii="Arial" w:hAnsi="Arial" w:cs="Arial"/>
          <w:lang w:val="en-US"/>
        </w:rPr>
        <w:fldChar w:fldCharType="begin"/>
      </w:r>
      <w:r w:rsidRPr="005D78BA">
        <w:rPr>
          <w:rFonts w:ascii="Arial" w:hAnsi="Arial" w:cs="Arial"/>
          <w:lang w:val="en-US"/>
        </w:rPr>
        <w:instrText xml:space="preserve"> REF _Ref11231180 \h  \* MERGEFORMAT </w:instrText>
      </w:r>
      <w:r w:rsidRPr="005D78BA">
        <w:rPr>
          <w:rFonts w:ascii="Arial" w:hAnsi="Arial" w:cs="Arial"/>
          <w:lang w:val="en-US"/>
        </w:rPr>
      </w:r>
      <w:r w:rsidRPr="005D78BA">
        <w:rPr>
          <w:rFonts w:ascii="Arial" w:hAnsi="Arial" w:cs="Arial"/>
          <w:lang w:val="en-US"/>
        </w:rPr>
        <w:fldChar w:fldCharType="separate"/>
      </w:r>
      <w:r w:rsidRPr="005D78BA">
        <w:rPr>
          <w:rFonts w:ascii="Arial" w:hAnsi="Arial" w:cs="Arial"/>
          <w:lang w:val="en-US"/>
        </w:rPr>
        <w:t xml:space="preserve">Supplementary Figure </w:t>
      </w:r>
      <w:r w:rsidRPr="005D78BA">
        <w:rPr>
          <w:rFonts w:ascii="Arial" w:hAnsi="Arial" w:cs="Arial"/>
          <w:noProof/>
          <w:lang w:val="en-US"/>
        </w:rPr>
        <w:t>2</w:t>
      </w:r>
      <w:r w:rsidRPr="005D78BA">
        <w:rPr>
          <w:rFonts w:ascii="Arial" w:hAnsi="Arial" w:cs="Arial"/>
          <w:lang w:val="en-US"/>
        </w:rPr>
        <w:fldChar w:fldCharType="end"/>
      </w:r>
      <w:r w:rsidRPr="005D78BA">
        <w:rPr>
          <w:rFonts w:ascii="Arial" w:hAnsi="Arial" w:cs="Arial"/>
          <w:lang w:val="en-US"/>
        </w:rPr>
        <w:t>).</w:t>
      </w:r>
    </w:p>
    <w:p w14:paraId="06F19D91" w14:textId="77777777" w:rsidR="007112F5" w:rsidRPr="005D78BA" w:rsidRDefault="007112F5" w:rsidP="007112F5">
      <w:pPr>
        <w:pStyle w:val="Beschriftung"/>
        <w:numPr>
          <w:ilvl w:val="0"/>
          <w:numId w:val="0"/>
        </w:numPr>
        <w:spacing w:before="120" w:after="120" w:line="480" w:lineRule="auto"/>
        <w:outlineLvl w:val="9"/>
        <w:rPr>
          <w:rFonts w:ascii="Arial" w:hAnsi="Arial" w:cs="Arial"/>
          <w:color w:val="auto"/>
          <w:sz w:val="20"/>
          <w:szCs w:val="20"/>
          <w:lang w:val="en-US"/>
        </w:rPr>
      </w:pPr>
      <w:bookmarkStart w:id="3" w:name="_Ref11231180"/>
      <w:r w:rsidRPr="005D78BA">
        <w:rPr>
          <w:rFonts w:ascii="Arial" w:hAnsi="Arial" w:cs="Arial"/>
          <w:b/>
          <w:bCs/>
          <w:color w:val="auto"/>
          <w:sz w:val="20"/>
          <w:szCs w:val="20"/>
          <w:lang w:val="en-US"/>
        </w:rPr>
        <w:lastRenderedPageBreak/>
        <w:t xml:space="preserve">Supplementary Figure </w:t>
      </w:r>
      <w:r w:rsidRPr="005D78BA">
        <w:rPr>
          <w:rFonts w:ascii="Arial" w:hAnsi="Arial" w:cs="Arial"/>
          <w:b/>
          <w:bCs/>
          <w:color w:val="auto"/>
          <w:sz w:val="20"/>
          <w:szCs w:val="20"/>
        </w:rPr>
        <w:fldChar w:fldCharType="begin"/>
      </w:r>
      <w:r w:rsidRPr="005D78BA">
        <w:rPr>
          <w:rFonts w:ascii="Arial" w:hAnsi="Arial" w:cs="Arial"/>
          <w:b/>
          <w:bCs/>
          <w:color w:val="auto"/>
          <w:sz w:val="20"/>
          <w:szCs w:val="20"/>
          <w:lang w:val="en-US"/>
        </w:rPr>
        <w:instrText xml:space="preserve"> SEQ Supplementary_Figure \* ARABIC </w:instrText>
      </w:r>
      <w:r w:rsidRPr="005D78BA">
        <w:rPr>
          <w:rFonts w:ascii="Arial" w:hAnsi="Arial" w:cs="Arial"/>
          <w:b/>
          <w:bCs/>
          <w:color w:val="auto"/>
          <w:sz w:val="20"/>
          <w:szCs w:val="20"/>
        </w:rPr>
        <w:fldChar w:fldCharType="separate"/>
      </w:r>
      <w:r w:rsidRPr="005D78BA">
        <w:rPr>
          <w:rFonts w:ascii="Arial" w:hAnsi="Arial" w:cs="Arial"/>
          <w:b/>
          <w:bCs/>
          <w:noProof/>
          <w:color w:val="auto"/>
          <w:sz w:val="20"/>
          <w:szCs w:val="20"/>
          <w:lang w:val="en-US"/>
        </w:rPr>
        <w:t>2</w:t>
      </w:r>
      <w:r w:rsidRPr="005D78BA">
        <w:rPr>
          <w:rFonts w:ascii="Arial" w:hAnsi="Arial" w:cs="Arial"/>
          <w:b/>
          <w:bCs/>
          <w:color w:val="auto"/>
          <w:sz w:val="20"/>
          <w:szCs w:val="20"/>
        </w:rPr>
        <w:fldChar w:fldCharType="end"/>
      </w:r>
      <w:bookmarkEnd w:id="3"/>
      <w:r w:rsidRPr="005D78BA">
        <w:rPr>
          <w:rFonts w:ascii="Arial" w:hAnsi="Arial" w:cs="Arial"/>
          <w:color w:val="auto"/>
          <w:sz w:val="20"/>
          <w:szCs w:val="20"/>
          <w:lang w:val="en-US"/>
        </w:rPr>
        <w:t xml:space="preserve"> One-year administrative prevalence of anogenital diseases grade I in women 23-25 years in Germany from 2012-2017</w:t>
      </w:r>
    </w:p>
    <w:p w14:paraId="7E366E4F" w14:textId="591D05E5" w:rsidR="007112F5" w:rsidRPr="005D78BA" w:rsidRDefault="00F306FD" w:rsidP="007112F5">
      <w:pPr>
        <w:rPr>
          <w:rFonts w:ascii="Arial" w:hAnsi="Arial" w:cs="Arial"/>
          <w:b/>
          <w:lang w:val="en-US"/>
        </w:rPr>
      </w:pPr>
      <w:r w:rsidRPr="00F306FD">
        <w:rPr>
          <w:rFonts w:ascii="Arial" w:hAnsi="Arial" w:cs="Arial"/>
          <w:b/>
          <w:noProof/>
        </w:rPr>
        <w:drawing>
          <wp:inline distT="0" distB="0" distL="0" distR="0" wp14:anchorId="4977FA62" wp14:editId="72B4BA86">
            <wp:extent cx="6120130" cy="2478405"/>
            <wp:effectExtent l="0" t="0" r="0" b="0"/>
            <wp:docPr id="3" name="Diagramm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4DD43FA-9A61-450D-9BDF-156BDC01AFB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932CB19" w14:textId="77777777" w:rsidR="007112F5" w:rsidRPr="005D78BA" w:rsidRDefault="007112F5" w:rsidP="007112F5">
      <w:pPr>
        <w:rPr>
          <w:rFonts w:ascii="Arial" w:hAnsi="Arial" w:cs="Arial"/>
          <w:b/>
          <w:lang w:val="en-US"/>
        </w:rPr>
      </w:pPr>
    </w:p>
    <w:p w14:paraId="7CA632C1" w14:textId="77777777" w:rsidR="007112F5" w:rsidRPr="005D78BA" w:rsidRDefault="007112F5" w:rsidP="007112F5">
      <w:pPr>
        <w:rPr>
          <w:rFonts w:ascii="Arial" w:hAnsi="Arial" w:cs="Arial"/>
          <w:b/>
          <w:i/>
          <w:iCs/>
          <w:lang w:val="en-US"/>
        </w:rPr>
      </w:pPr>
      <w:r w:rsidRPr="005D78BA">
        <w:rPr>
          <w:rFonts w:ascii="Arial" w:hAnsi="Arial" w:cs="Arial"/>
          <w:b/>
          <w:i/>
          <w:iCs/>
          <w:lang w:val="en-US"/>
        </w:rPr>
        <w:t>Anogenital disease grade II</w:t>
      </w:r>
    </w:p>
    <w:p w14:paraId="0EF60A8E" w14:textId="77777777" w:rsidR="007112F5" w:rsidRPr="005D78BA" w:rsidRDefault="007112F5" w:rsidP="007112F5">
      <w:pPr>
        <w:rPr>
          <w:rFonts w:ascii="Arial" w:eastAsiaTheme="minorHAnsi" w:hAnsi="Arial" w:cs="Arial"/>
          <w:lang w:val="en-US"/>
        </w:rPr>
      </w:pPr>
      <w:r w:rsidRPr="005D78BA">
        <w:rPr>
          <w:rFonts w:ascii="Arial" w:eastAsiaTheme="minorHAnsi" w:hAnsi="Arial" w:cs="Arial"/>
          <w:lang w:val="en-US"/>
        </w:rPr>
        <w:t>Analyzing the trend at single age years, the 1-year APR in all analyzed birth cohorts indicated an increase from 23 to 25 years. The highest increase of the 1-year APR was observed in birth cohort 1990 from 23 (0.12% (0.08-0.19)) to 25 (0.26% (0.19-0.35)) years, followed by birth cohort 1989 and 1991 from 23 (0.18% (0.12-0.26) in birth cohort 1989 and 0.16% (0.10-0.24) in birth cohort 1991) to 25 (0.31% (0.23-0.41) in birth cohort 1989 and 0.22% (0.15-0.31) in birth cohort 1991). Although the 1-year APR in birth cohort 1992 decreased slightly by 0.02 percentage points from 23 to 24 years, overall, it increased from 23 (0.22% (0.15-0.31)) to 25 (0.25% (0.18-0.34)) years (</w:t>
      </w:r>
      <w:r w:rsidRPr="005D78BA">
        <w:rPr>
          <w:rFonts w:ascii="Arial" w:eastAsiaTheme="minorHAnsi" w:hAnsi="Arial" w:cs="Arial"/>
          <w:lang w:val="en-US"/>
        </w:rPr>
        <w:fldChar w:fldCharType="begin"/>
      </w:r>
      <w:r w:rsidRPr="005D78BA">
        <w:rPr>
          <w:rFonts w:ascii="Arial" w:eastAsiaTheme="minorHAnsi" w:hAnsi="Arial" w:cs="Arial"/>
          <w:lang w:val="en-US"/>
        </w:rPr>
        <w:instrText xml:space="preserve"> REF _Ref11231234 \h  \* MERGEFORMAT </w:instrText>
      </w:r>
      <w:r w:rsidRPr="005D78BA">
        <w:rPr>
          <w:rFonts w:ascii="Arial" w:eastAsiaTheme="minorHAnsi" w:hAnsi="Arial" w:cs="Arial"/>
          <w:lang w:val="en-US"/>
        </w:rPr>
      </w:r>
      <w:r w:rsidRPr="005D78BA">
        <w:rPr>
          <w:rFonts w:ascii="Arial" w:eastAsiaTheme="minorHAnsi" w:hAnsi="Arial" w:cs="Arial"/>
          <w:lang w:val="en-US"/>
        </w:rPr>
        <w:fldChar w:fldCharType="separate"/>
      </w:r>
      <w:r w:rsidRPr="005D78BA">
        <w:rPr>
          <w:rFonts w:ascii="Arial" w:hAnsi="Arial" w:cs="Arial"/>
          <w:lang w:val="en-US"/>
        </w:rPr>
        <w:t xml:space="preserve">Supplementary Figure </w:t>
      </w:r>
      <w:r w:rsidRPr="005D78BA">
        <w:rPr>
          <w:rFonts w:ascii="Arial" w:hAnsi="Arial" w:cs="Arial"/>
          <w:noProof/>
          <w:lang w:val="en-US"/>
        </w:rPr>
        <w:t>3</w:t>
      </w:r>
      <w:r w:rsidRPr="005D78BA">
        <w:rPr>
          <w:rFonts w:ascii="Arial" w:eastAsiaTheme="minorHAnsi" w:hAnsi="Arial" w:cs="Arial"/>
          <w:lang w:val="en-US"/>
        </w:rPr>
        <w:fldChar w:fldCharType="end"/>
      </w:r>
      <w:r w:rsidRPr="005D78BA">
        <w:rPr>
          <w:rFonts w:ascii="Arial" w:eastAsiaTheme="minorHAnsi" w:hAnsi="Arial" w:cs="Arial"/>
          <w:lang w:val="en-US"/>
        </w:rPr>
        <w:t>).</w:t>
      </w:r>
    </w:p>
    <w:p w14:paraId="0FFFA78E" w14:textId="77777777" w:rsidR="007112F5" w:rsidRPr="005D78BA" w:rsidRDefault="007112F5" w:rsidP="007112F5">
      <w:pPr>
        <w:pStyle w:val="Beschriftung"/>
        <w:numPr>
          <w:ilvl w:val="0"/>
          <w:numId w:val="0"/>
        </w:numPr>
        <w:spacing w:before="120" w:after="120" w:line="480" w:lineRule="auto"/>
        <w:outlineLvl w:val="9"/>
        <w:rPr>
          <w:rFonts w:ascii="Arial" w:hAnsi="Arial" w:cs="Arial"/>
          <w:color w:val="auto"/>
          <w:sz w:val="20"/>
          <w:szCs w:val="20"/>
          <w:lang w:val="en-US"/>
        </w:rPr>
      </w:pPr>
      <w:bookmarkStart w:id="4" w:name="_Ref11231234"/>
      <w:r w:rsidRPr="005D78BA">
        <w:rPr>
          <w:rFonts w:ascii="Arial" w:hAnsi="Arial" w:cs="Arial"/>
          <w:b/>
          <w:bCs/>
          <w:color w:val="auto"/>
          <w:sz w:val="20"/>
          <w:szCs w:val="20"/>
          <w:lang w:val="en-US"/>
        </w:rPr>
        <w:lastRenderedPageBreak/>
        <w:t xml:space="preserve">Supplementary Figure </w:t>
      </w:r>
      <w:r w:rsidRPr="005D78BA">
        <w:rPr>
          <w:rFonts w:ascii="Arial" w:hAnsi="Arial" w:cs="Arial"/>
          <w:b/>
          <w:bCs/>
          <w:color w:val="auto"/>
          <w:sz w:val="20"/>
          <w:szCs w:val="20"/>
        </w:rPr>
        <w:fldChar w:fldCharType="begin"/>
      </w:r>
      <w:r w:rsidRPr="005D78BA">
        <w:rPr>
          <w:rFonts w:ascii="Arial" w:hAnsi="Arial" w:cs="Arial"/>
          <w:b/>
          <w:bCs/>
          <w:color w:val="auto"/>
          <w:sz w:val="20"/>
          <w:szCs w:val="20"/>
          <w:lang w:val="en-US"/>
        </w:rPr>
        <w:instrText xml:space="preserve"> SEQ Supplementary_Figure \* ARABIC </w:instrText>
      </w:r>
      <w:r w:rsidRPr="005D78BA">
        <w:rPr>
          <w:rFonts w:ascii="Arial" w:hAnsi="Arial" w:cs="Arial"/>
          <w:b/>
          <w:bCs/>
          <w:color w:val="auto"/>
          <w:sz w:val="20"/>
          <w:szCs w:val="20"/>
        </w:rPr>
        <w:fldChar w:fldCharType="separate"/>
      </w:r>
      <w:r w:rsidRPr="005D78BA">
        <w:rPr>
          <w:rFonts w:ascii="Arial" w:hAnsi="Arial" w:cs="Arial"/>
          <w:b/>
          <w:bCs/>
          <w:noProof/>
          <w:color w:val="auto"/>
          <w:sz w:val="20"/>
          <w:szCs w:val="20"/>
          <w:lang w:val="en-US"/>
        </w:rPr>
        <w:t>3</w:t>
      </w:r>
      <w:r w:rsidRPr="005D78BA">
        <w:rPr>
          <w:rFonts w:ascii="Arial" w:hAnsi="Arial" w:cs="Arial"/>
          <w:b/>
          <w:bCs/>
          <w:color w:val="auto"/>
          <w:sz w:val="20"/>
          <w:szCs w:val="20"/>
        </w:rPr>
        <w:fldChar w:fldCharType="end"/>
      </w:r>
      <w:bookmarkEnd w:id="4"/>
      <w:r w:rsidRPr="005D78BA">
        <w:rPr>
          <w:rFonts w:ascii="Arial" w:hAnsi="Arial" w:cs="Arial"/>
          <w:color w:val="auto"/>
          <w:sz w:val="20"/>
          <w:szCs w:val="20"/>
          <w:lang w:val="en-US"/>
        </w:rPr>
        <w:t xml:space="preserve"> One-year administrative prevalence of anogenital diseases grade II in women 23-25 years in Germany from 2012-2017</w:t>
      </w:r>
    </w:p>
    <w:p w14:paraId="5DCBAE61" w14:textId="4C02894A" w:rsidR="007112F5" w:rsidRPr="005D78BA" w:rsidRDefault="00F306FD" w:rsidP="007112F5">
      <w:pPr>
        <w:rPr>
          <w:rFonts w:ascii="Arial" w:eastAsiaTheme="minorHAnsi" w:hAnsi="Arial" w:cs="Arial"/>
          <w:lang w:val="en-US"/>
        </w:rPr>
      </w:pPr>
      <w:r w:rsidRPr="00F306FD">
        <w:rPr>
          <w:rFonts w:ascii="Arial" w:eastAsiaTheme="minorHAnsi" w:hAnsi="Arial" w:cs="Arial"/>
          <w:noProof/>
        </w:rPr>
        <w:drawing>
          <wp:inline distT="0" distB="0" distL="0" distR="0" wp14:anchorId="1859C708" wp14:editId="6F3EF451">
            <wp:extent cx="6120130" cy="2478405"/>
            <wp:effectExtent l="0" t="0" r="0" b="0"/>
            <wp:docPr id="4" name="Diagramm 4">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4DD43FA-9A61-450D-9BDF-156BDC01AFB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9ED9720" w14:textId="77777777" w:rsidR="007112F5" w:rsidRPr="005D78BA" w:rsidRDefault="007112F5" w:rsidP="007112F5">
      <w:pPr>
        <w:rPr>
          <w:rFonts w:ascii="Arial" w:eastAsiaTheme="minorHAnsi" w:hAnsi="Arial" w:cs="Arial"/>
          <w:b/>
          <w:lang w:val="en-US"/>
        </w:rPr>
      </w:pPr>
    </w:p>
    <w:p w14:paraId="5ACBA94C" w14:textId="77777777" w:rsidR="007112F5" w:rsidRPr="005D78BA" w:rsidRDefault="007112F5" w:rsidP="007112F5">
      <w:pPr>
        <w:rPr>
          <w:rFonts w:ascii="Arial" w:eastAsiaTheme="minorHAnsi" w:hAnsi="Arial" w:cs="Arial"/>
          <w:b/>
          <w:i/>
          <w:iCs/>
          <w:lang w:val="en-US"/>
        </w:rPr>
      </w:pPr>
      <w:r w:rsidRPr="005D78BA">
        <w:rPr>
          <w:rFonts w:ascii="Arial" w:eastAsiaTheme="minorHAnsi" w:hAnsi="Arial" w:cs="Arial"/>
          <w:b/>
          <w:i/>
          <w:iCs/>
          <w:lang w:val="en-US"/>
        </w:rPr>
        <w:t>Anogenital disease grade III</w:t>
      </w:r>
    </w:p>
    <w:p w14:paraId="522AC06B" w14:textId="77777777" w:rsidR="007112F5" w:rsidRPr="005D78BA" w:rsidRDefault="007112F5" w:rsidP="007112F5">
      <w:pPr>
        <w:rPr>
          <w:rFonts w:ascii="Arial" w:hAnsi="Arial" w:cs="Arial"/>
          <w:lang w:val="en-US"/>
        </w:rPr>
      </w:pPr>
      <w:r w:rsidRPr="005D78BA">
        <w:rPr>
          <w:rFonts w:ascii="Arial" w:eastAsiaTheme="minorHAnsi" w:hAnsi="Arial" w:cs="Arial"/>
          <w:lang w:val="en-US"/>
        </w:rPr>
        <w:t>Looking at single age years, birth cohort 1989 showed the highest increase of 1-year APR from 23 (0.25% (0.18-0.34)) to 25 (0.64% (0.52-0.78)) years, followed by birth cohort 1990 from 23 (0.39% (0.30-0.50)) to 25 (0.48% (0.38-0.60)) years. Although the 1-year APR in birth cohort 1990 and 1991 decreased by 0.10 percentage points (birth cohort 1991) and 0.05 percentage points (birth cohort 1991) from 23 to 24 years, they remained constantly from 23 (0.37% (0.28-0.48) in birth cohort 1991 and 0.33% (0.24-0.44) in birth cohort 1992) to 25 (0.38% (0.29-0.49) in birth cohort 1991 and 0.32% (0.24-0.43%) in birth cohort 1992) years (</w:t>
      </w:r>
      <w:r w:rsidRPr="005D78BA">
        <w:rPr>
          <w:rFonts w:ascii="Arial" w:eastAsiaTheme="minorHAnsi" w:hAnsi="Arial" w:cs="Arial"/>
          <w:lang w:val="en-US"/>
        </w:rPr>
        <w:fldChar w:fldCharType="begin"/>
      </w:r>
      <w:r w:rsidRPr="005D78BA">
        <w:rPr>
          <w:rFonts w:ascii="Arial" w:eastAsiaTheme="minorHAnsi" w:hAnsi="Arial" w:cs="Arial"/>
          <w:lang w:val="en-US"/>
        </w:rPr>
        <w:instrText xml:space="preserve"> REF _Ref11231704 \h  \* MERGEFORMAT </w:instrText>
      </w:r>
      <w:r w:rsidRPr="005D78BA">
        <w:rPr>
          <w:rFonts w:ascii="Arial" w:eastAsiaTheme="minorHAnsi" w:hAnsi="Arial" w:cs="Arial"/>
          <w:lang w:val="en-US"/>
        </w:rPr>
      </w:r>
      <w:r w:rsidRPr="005D78BA">
        <w:rPr>
          <w:rFonts w:ascii="Arial" w:eastAsiaTheme="minorHAnsi" w:hAnsi="Arial" w:cs="Arial"/>
          <w:lang w:val="en-US"/>
        </w:rPr>
        <w:fldChar w:fldCharType="separate"/>
      </w:r>
      <w:r w:rsidRPr="005D78BA">
        <w:rPr>
          <w:rFonts w:ascii="Arial" w:hAnsi="Arial" w:cs="Arial"/>
          <w:lang w:val="en-US"/>
        </w:rPr>
        <w:t xml:space="preserve">Supplementary Figure </w:t>
      </w:r>
      <w:r w:rsidRPr="005D78BA">
        <w:rPr>
          <w:rFonts w:ascii="Arial" w:hAnsi="Arial" w:cs="Arial"/>
          <w:noProof/>
          <w:lang w:val="en-US"/>
        </w:rPr>
        <w:t>4</w:t>
      </w:r>
      <w:r w:rsidRPr="005D78BA">
        <w:rPr>
          <w:rFonts w:ascii="Arial" w:eastAsiaTheme="minorHAnsi" w:hAnsi="Arial" w:cs="Arial"/>
          <w:lang w:val="en-US"/>
        </w:rPr>
        <w:fldChar w:fldCharType="end"/>
      </w:r>
      <w:r w:rsidRPr="005D78BA">
        <w:rPr>
          <w:rFonts w:ascii="Arial" w:eastAsiaTheme="minorHAnsi" w:hAnsi="Arial" w:cs="Arial"/>
          <w:lang w:val="en-US"/>
        </w:rPr>
        <w:t>).</w:t>
      </w:r>
    </w:p>
    <w:p w14:paraId="4D24B3B8" w14:textId="77777777" w:rsidR="007112F5" w:rsidRPr="005D78BA" w:rsidRDefault="007112F5" w:rsidP="007112F5">
      <w:pPr>
        <w:pStyle w:val="Beschriftung"/>
        <w:numPr>
          <w:ilvl w:val="0"/>
          <w:numId w:val="0"/>
        </w:numPr>
        <w:spacing w:before="120" w:after="120" w:line="480" w:lineRule="auto"/>
        <w:outlineLvl w:val="9"/>
        <w:rPr>
          <w:rFonts w:ascii="Arial" w:hAnsi="Arial" w:cs="Arial"/>
          <w:color w:val="auto"/>
          <w:sz w:val="20"/>
          <w:szCs w:val="20"/>
          <w:lang w:val="en-US"/>
        </w:rPr>
      </w:pPr>
      <w:bookmarkStart w:id="5" w:name="_Ref11231704"/>
      <w:r w:rsidRPr="005D78BA">
        <w:rPr>
          <w:rFonts w:ascii="Arial" w:hAnsi="Arial" w:cs="Arial"/>
          <w:b/>
          <w:bCs/>
          <w:color w:val="auto"/>
          <w:sz w:val="20"/>
          <w:szCs w:val="20"/>
          <w:lang w:val="en-US"/>
        </w:rPr>
        <w:lastRenderedPageBreak/>
        <w:t xml:space="preserve">Supplementary Figure </w:t>
      </w:r>
      <w:r w:rsidRPr="005D78BA">
        <w:rPr>
          <w:rFonts w:ascii="Arial" w:hAnsi="Arial" w:cs="Arial"/>
          <w:b/>
          <w:bCs/>
          <w:color w:val="auto"/>
          <w:sz w:val="20"/>
          <w:szCs w:val="20"/>
        </w:rPr>
        <w:fldChar w:fldCharType="begin"/>
      </w:r>
      <w:r w:rsidRPr="005D78BA">
        <w:rPr>
          <w:rFonts w:ascii="Arial" w:hAnsi="Arial" w:cs="Arial"/>
          <w:b/>
          <w:bCs/>
          <w:color w:val="auto"/>
          <w:sz w:val="20"/>
          <w:szCs w:val="20"/>
          <w:lang w:val="en-US"/>
        </w:rPr>
        <w:instrText xml:space="preserve"> SEQ Supplementary_Figure \* ARABIC </w:instrText>
      </w:r>
      <w:r w:rsidRPr="005D78BA">
        <w:rPr>
          <w:rFonts w:ascii="Arial" w:hAnsi="Arial" w:cs="Arial"/>
          <w:b/>
          <w:bCs/>
          <w:color w:val="auto"/>
          <w:sz w:val="20"/>
          <w:szCs w:val="20"/>
        </w:rPr>
        <w:fldChar w:fldCharType="separate"/>
      </w:r>
      <w:r w:rsidRPr="005D78BA">
        <w:rPr>
          <w:rFonts w:ascii="Arial" w:hAnsi="Arial" w:cs="Arial"/>
          <w:b/>
          <w:bCs/>
          <w:noProof/>
          <w:color w:val="auto"/>
          <w:sz w:val="20"/>
          <w:szCs w:val="20"/>
          <w:lang w:val="en-US"/>
        </w:rPr>
        <w:t>4</w:t>
      </w:r>
      <w:r w:rsidRPr="005D78BA">
        <w:rPr>
          <w:rFonts w:ascii="Arial" w:hAnsi="Arial" w:cs="Arial"/>
          <w:b/>
          <w:bCs/>
          <w:color w:val="auto"/>
          <w:sz w:val="20"/>
          <w:szCs w:val="20"/>
        </w:rPr>
        <w:fldChar w:fldCharType="end"/>
      </w:r>
      <w:bookmarkEnd w:id="5"/>
      <w:r w:rsidRPr="005D78BA">
        <w:rPr>
          <w:rFonts w:ascii="Arial" w:hAnsi="Arial" w:cs="Arial"/>
          <w:color w:val="auto"/>
          <w:sz w:val="20"/>
          <w:szCs w:val="20"/>
          <w:lang w:val="en-US"/>
        </w:rPr>
        <w:t xml:space="preserve"> One-year administrative prevalence of anogenital diseases grade III in women 23-25 years in Germany from 2012-2017</w:t>
      </w:r>
    </w:p>
    <w:p w14:paraId="140F746F" w14:textId="2D739284" w:rsidR="00DC2F6F" w:rsidRPr="007112F5" w:rsidRDefault="00F306FD">
      <w:pPr>
        <w:rPr>
          <w:rFonts w:ascii="Arial" w:hAnsi="Arial" w:cs="Arial"/>
          <w:lang w:val="en-US"/>
        </w:rPr>
      </w:pPr>
      <w:r w:rsidRPr="00F306FD">
        <w:rPr>
          <w:rFonts w:ascii="Arial" w:hAnsi="Arial" w:cs="Arial"/>
          <w:noProof/>
        </w:rPr>
        <w:drawing>
          <wp:inline distT="0" distB="0" distL="0" distR="0" wp14:anchorId="45C8B083" wp14:editId="6DABEC2C">
            <wp:extent cx="6120130" cy="2478405"/>
            <wp:effectExtent l="0" t="0" r="0" b="0"/>
            <wp:docPr id="5" name="Diagramm 5">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4DD43FA-9A61-450D-9BDF-156BDC01AFB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sectPr w:rsidR="00DC2F6F" w:rsidRPr="007112F5" w:rsidSect="007C09CC">
      <w:footerReference w:type="default" r:id="rId11"/>
      <w:pgSz w:w="11906" w:h="16838" w:code="9"/>
      <w:pgMar w:top="1701" w:right="1134" w:bottom="851" w:left="1134" w:header="1134" w:footer="851"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6C22E9" w14:textId="77777777" w:rsidR="00D22EA8" w:rsidRDefault="00106EBE">
      <w:pPr>
        <w:spacing w:before="0" w:after="0" w:line="240" w:lineRule="auto"/>
      </w:pPr>
      <w:r>
        <w:separator/>
      </w:r>
    </w:p>
  </w:endnote>
  <w:endnote w:type="continuationSeparator" w:id="0">
    <w:p w14:paraId="26A185A0" w14:textId="77777777" w:rsidR="00D22EA8" w:rsidRDefault="00106EB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1724558"/>
      <w:docPartObj>
        <w:docPartGallery w:val="Page Numbers (Bottom of Page)"/>
        <w:docPartUnique/>
      </w:docPartObj>
    </w:sdtPr>
    <w:sdtEndPr/>
    <w:sdtContent>
      <w:p w14:paraId="399CDACE" w14:textId="77777777" w:rsidR="007C09CC" w:rsidRDefault="007112F5">
        <w:pPr>
          <w:pStyle w:val="Fuzeile"/>
          <w:jc w:val="right"/>
        </w:pPr>
        <w:r>
          <w:fldChar w:fldCharType="begin"/>
        </w:r>
        <w:r>
          <w:instrText>PAGE   \* MERGEFORMAT</w:instrText>
        </w:r>
        <w:r>
          <w:fldChar w:fldCharType="separate"/>
        </w:r>
        <w:r w:rsidR="00F94174">
          <w:rPr>
            <w:noProof/>
          </w:rPr>
          <w:t>1</w:t>
        </w:r>
        <w:r>
          <w:fldChar w:fldCharType="end"/>
        </w:r>
      </w:p>
    </w:sdtContent>
  </w:sdt>
  <w:p w14:paraId="5182EB93" w14:textId="77777777" w:rsidR="007C09CC" w:rsidRPr="006A5666" w:rsidRDefault="00F94174" w:rsidP="006A5666">
    <w:pPr>
      <w:pStyle w:val="Fuzeile"/>
      <w:tabs>
        <w:tab w:val="clear" w:pos="9072"/>
        <w:tab w:val="right" w:pos="9639"/>
      </w:tabs>
      <w:rPr>
        <w:sz w:val="4"/>
        <w:szCs w:val="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558D66" w14:textId="77777777" w:rsidR="00D22EA8" w:rsidRDefault="00106EBE">
      <w:pPr>
        <w:spacing w:before="0" w:after="0" w:line="240" w:lineRule="auto"/>
      </w:pPr>
      <w:r>
        <w:separator/>
      </w:r>
    </w:p>
  </w:footnote>
  <w:footnote w:type="continuationSeparator" w:id="0">
    <w:p w14:paraId="360BB9A0" w14:textId="77777777" w:rsidR="00D22EA8" w:rsidRDefault="00106EBE">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7B1AE9"/>
    <w:multiLevelType w:val="multilevel"/>
    <w:tmpl w:val="C14E73F6"/>
    <w:lvl w:ilvl="0">
      <w:start w:val="1"/>
      <w:numFmt w:val="decimal"/>
      <w:pStyle w:val="berschrift1"/>
      <w:lvlText w:val="%1"/>
      <w:lvlJc w:val="left"/>
      <w:pPr>
        <w:ind w:left="432" w:hanging="432"/>
      </w:pPr>
      <w:rPr>
        <w:rFonts w:cs="Times New Roman" w:hint="default"/>
      </w:rPr>
    </w:lvl>
    <w:lvl w:ilvl="1">
      <w:start w:val="1"/>
      <w:numFmt w:val="decimal"/>
      <w:pStyle w:val="berschrift2"/>
      <w:lvlText w:val="%1.%2"/>
      <w:lvlJc w:val="left"/>
      <w:pPr>
        <w:ind w:left="576" w:hanging="576"/>
      </w:pPr>
      <w:rPr>
        <w:rFonts w:cs="Times New Roman" w:hint="default"/>
      </w:rPr>
    </w:lvl>
    <w:lvl w:ilvl="2">
      <w:start w:val="1"/>
      <w:numFmt w:val="decimal"/>
      <w:pStyle w:val="berschrift3"/>
      <w:lvlText w:val="%1.%2.%3"/>
      <w:lvlJc w:val="left"/>
      <w:pPr>
        <w:ind w:left="720" w:hanging="720"/>
      </w:pPr>
      <w:rPr>
        <w:rFonts w:cs="Times New Roman" w:hint="default"/>
      </w:rPr>
    </w:lvl>
    <w:lvl w:ilvl="3">
      <w:start w:val="1"/>
      <w:numFmt w:val="decimal"/>
      <w:pStyle w:val="berschrift4"/>
      <w:lvlText w:val="%1.%2.%3.%4"/>
      <w:lvlJc w:val="left"/>
      <w:pPr>
        <w:ind w:left="864" w:hanging="864"/>
      </w:pPr>
      <w:rPr>
        <w:rFonts w:cs="Times New Roman" w:hint="default"/>
      </w:rPr>
    </w:lvl>
    <w:lvl w:ilvl="4">
      <w:start w:val="1"/>
      <w:numFmt w:val="decimal"/>
      <w:pStyle w:val="berschrift5"/>
      <w:lvlText w:val="%1.%2.%3.%4.%5"/>
      <w:lvlJc w:val="left"/>
      <w:pPr>
        <w:ind w:left="1008" w:hanging="1008"/>
      </w:pPr>
      <w:rPr>
        <w:rFonts w:cs="Times New Roman" w:hint="default"/>
      </w:rPr>
    </w:lvl>
    <w:lvl w:ilvl="5">
      <w:start w:val="1"/>
      <w:numFmt w:val="decimal"/>
      <w:pStyle w:val="berschrift6"/>
      <w:lvlText w:val="%1.%2.%3.%4.%5.%6"/>
      <w:lvlJc w:val="left"/>
      <w:pPr>
        <w:ind w:left="1152" w:hanging="1152"/>
      </w:pPr>
      <w:rPr>
        <w:rFonts w:cs="Times New Roman" w:hint="default"/>
      </w:rPr>
    </w:lvl>
    <w:lvl w:ilvl="6">
      <w:start w:val="1"/>
      <w:numFmt w:val="decimal"/>
      <w:pStyle w:val="berschrift7"/>
      <w:lvlText w:val="%1.%2.%3.%4.%5.%6.%7"/>
      <w:lvlJc w:val="left"/>
      <w:pPr>
        <w:ind w:left="1296" w:hanging="1296"/>
      </w:pPr>
      <w:rPr>
        <w:rFonts w:cs="Times New Roman" w:hint="default"/>
      </w:rPr>
    </w:lvl>
    <w:lvl w:ilvl="7">
      <w:start w:val="1"/>
      <w:numFmt w:val="decimal"/>
      <w:pStyle w:val="berschrift8"/>
      <w:lvlText w:val="%1.%2.%3.%4.%5.%6.%7.%8"/>
      <w:lvlJc w:val="left"/>
      <w:pPr>
        <w:ind w:left="1440" w:hanging="1440"/>
      </w:pPr>
      <w:rPr>
        <w:rFonts w:cs="Times New Roman" w:hint="default"/>
      </w:rPr>
    </w:lvl>
    <w:lvl w:ilvl="8">
      <w:start w:val="1"/>
      <w:numFmt w:val="lowerLetter"/>
      <w:pStyle w:val="berschrift9"/>
      <w:lvlText w:val="%9."/>
      <w:lvlJc w:val="left"/>
      <w:pPr>
        <w:ind w:left="1584" w:hanging="1584"/>
      </w:pPr>
      <w:rPr>
        <w:rFont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2F5"/>
    <w:rsid w:val="00106EBE"/>
    <w:rsid w:val="007112F5"/>
    <w:rsid w:val="007D24AE"/>
    <w:rsid w:val="00812591"/>
    <w:rsid w:val="009750F3"/>
    <w:rsid w:val="00CB0350"/>
    <w:rsid w:val="00D22EA8"/>
    <w:rsid w:val="00DC2F6F"/>
    <w:rsid w:val="00F306FD"/>
    <w:rsid w:val="00F9417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B995E"/>
  <w15:chartTrackingRefBased/>
  <w15:docId w15:val="{AC4AFD99-A01E-47DF-819A-43F9E8F01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112F5"/>
    <w:pPr>
      <w:spacing w:before="120" w:after="120" w:line="480" w:lineRule="auto"/>
      <w:jc w:val="both"/>
    </w:pPr>
    <w:rPr>
      <w:rFonts w:ascii="Calibri" w:eastAsia="Calibri" w:hAnsi="Calibri" w:cs="Times New Roman"/>
      <w:sz w:val="20"/>
      <w:szCs w:val="20"/>
      <w:lang w:val="de-DE" w:eastAsia="de-DE"/>
    </w:rPr>
  </w:style>
  <w:style w:type="paragraph" w:styleId="berschrift1">
    <w:name w:val="heading 1"/>
    <w:basedOn w:val="Standard"/>
    <w:next w:val="Standard"/>
    <w:link w:val="berschrift1Zchn"/>
    <w:uiPriority w:val="99"/>
    <w:rsid w:val="007112F5"/>
    <w:pPr>
      <w:keepNext/>
      <w:keepLines/>
      <w:numPr>
        <w:numId w:val="1"/>
      </w:numPr>
      <w:tabs>
        <w:tab w:val="left" w:pos="454"/>
      </w:tabs>
      <w:spacing w:before="240" w:after="60" w:line="264" w:lineRule="auto"/>
      <w:outlineLvl w:val="0"/>
    </w:pPr>
    <w:rPr>
      <w:b/>
      <w:bCs/>
      <w:color w:val="000000"/>
      <w:sz w:val="24"/>
      <w:szCs w:val="28"/>
    </w:rPr>
  </w:style>
  <w:style w:type="paragraph" w:styleId="berschrift2">
    <w:name w:val="heading 2"/>
    <w:basedOn w:val="berschrift1"/>
    <w:next w:val="Standard"/>
    <w:link w:val="berschrift2Zchn"/>
    <w:uiPriority w:val="99"/>
    <w:rsid w:val="007112F5"/>
    <w:pPr>
      <w:numPr>
        <w:ilvl w:val="1"/>
      </w:numPr>
      <w:tabs>
        <w:tab w:val="clear" w:pos="454"/>
        <w:tab w:val="left" w:pos="567"/>
      </w:tabs>
      <w:spacing w:before="200"/>
      <w:outlineLvl w:val="1"/>
    </w:pPr>
    <w:rPr>
      <w:bCs w:val="0"/>
      <w:szCs w:val="26"/>
    </w:rPr>
  </w:style>
  <w:style w:type="paragraph" w:styleId="berschrift3">
    <w:name w:val="heading 3"/>
    <w:basedOn w:val="berschrift1"/>
    <w:next w:val="Standard"/>
    <w:link w:val="berschrift3Zchn"/>
    <w:uiPriority w:val="99"/>
    <w:rsid w:val="007112F5"/>
    <w:pPr>
      <w:numPr>
        <w:ilvl w:val="2"/>
      </w:numPr>
      <w:tabs>
        <w:tab w:val="clear" w:pos="454"/>
        <w:tab w:val="left" w:pos="737"/>
      </w:tabs>
      <w:spacing w:before="200"/>
      <w:outlineLvl w:val="2"/>
    </w:pPr>
    <w:rPr>
      <w:bCs w:val="0"/>
    </w:rPr>
  </w:style>
  <w:style w:type="paragraph" w:styleId="berschrift4">
    <w:name w:val="heading 4"/>
    <w:basedOn w:val="berschrift1"/>
    <w:next w:val="Standard"/>
    <w:link w:val="berschrift4Zchn"/>
    <w:uiPriority w:val="99"/>
    <w:rsid w:val="007112F5"/>
    <w:pPr>
      <w:numPr>
        <w:ilvl w:val="3"/>
      </w:numPr>
      <w:tabs>
        <w:tab w:val="clear" w:pos="454"/>
        <w:tab w:val="left" w:pos="851"/>
      </w:tabs>
      <w:spacing w:before="200"/>
      <w:outlineLvl w:val="3"/>
    </w:pPr>
    <w:rPr>
      <w:bCs w:val="0"/>
      <w:iCs/>
    </w:rPr>
  </w:style>
  <w:style w:type="paragraph" w:styleId="berschrift5">
    <w:name w:val="heading 5"/>
    <w:basedOn w:val="berschrift1"/>
    <w:next w:val="Standard"/>
    <w:link w:val="berschrift5Zchn"/>
    <w:uiPriority w:val="99"/>
    <w:rsid w:val="007112F5"/>
    <w:pPr>
      <w:numPr>
        <w:ilvl w:val="4"/>
      </w:numPr>
      <w:tabs>
        <w:tab w:val="clear" w:pos="454"/>
        <w:tab w:val="left" w:pos="1134"/>
      </w:tabs>
      <w:spacing w:before="200"/>
      <w:outlineLvl w:val="4"/>
    </w:pPr>
  </w:style>
  <w:style w:type="paragraph" w:styleId="berschrift6">
    <w:name w:val="heading 6"/>
    <w:basedOn w:val="berschrift1"/>
    <w:next w:val="Standard"/>
    <w:link w:val="berschrift6Zchn"/>
    <w:uiPriority w:val="99"/>
    <w:rsid w:val="007112F5"/>
    <w:pPr>
      <w:numPr>
        <w:ilvl w:val="5"/>
      </w:numPr>
      <w:tabs>
        <w:tab w:val="clear" w:pos="454"/>
        <w:tab w:val="left" w:pos="1276"/>
      </w:tabs>
      <w:spacing w:before="200"/>
      <w:outlineLvl w:val="5"/>
    </w:pPr>
    <w:rPr>
      <w:iCs/>
    </w:rPr>
  </w:style>
  <w:style w:type="paragraph" w:styleId="berschrift7">
    <w:name w:val="heading 7"/>
    <w:basedOn w:val="berschrift1"/>
    <w:next w:val="Standard"/>
    <w:link w:val="berschrift7Zchn"/>
    <w:uiPriority w:val="99"/>
    <w:semiHidden/>
    <w:qFormat/>
    <w:rsid w:val="007112F5"/>
    <w:pPr>
      <w:numPr>
        <w:ilvl w:val="6"/>
      </w:numPr>
      <w:tabs>
        <w:tab w:val="clear" w:pos="454"/>
        <w:tab w:val="left" w:pos="1418"/>
      </w:tabs>
      <w:spacing w:before="200"/>
      <w:outlineLvl w:val="6"/>
    </w:pPr>
    <w:rPr>
      <w:iCs/>
    </w:rPr>
  </w:style>
  <w:style w:type="paragraph" w:styleId="berschrift8">
    <w:name w:val="heading 8"/>
    <w:basedOn w:val="berschrift1"/>
    <w:next w:val="Standard"/>
    <w:link w:val="berschrift8Zchn"/>
    <w:uiPriority w:val="99"/>
    <w:semiHidden/>
    <w:qFormat/>
    <w:rsid w:val="007112F5"/>
    <w:pPr>
      <w:numPr>
        <w:ilvl w:val="7"/>
      </w:numPr>
      <w:tabs>
        <w:tab w:val="left" w:pos="1701"/>
      </w:tabs>
      <w:spacing w:before="200"/>
      <w:outlineLvl w:val="7"/>
    </w:pPr>
  </w:style>
  <w:style w:type="paragraph" w:styleId="berschrift9">
    <w:name w:val="heading 9"/>
    <w:basedOn w:val="Standard"/>
    <w:link w:val="berschrift9Zchn"/>
    <w:uiPriority w:val="99"/>
    <w:semiHidden/>
    <w:qFormat/>
    <w:rsid w:val="007112F5"/>
    <w:pPr>
      <w:numPr>
        <w:ilvl w:val="8"/>
        <w:numId w:val="1"/>
      </w:numPr>
      <w:tabs>
        <w:tab w:val="left" w:pos="284"/>
      </w:tabs>
      <w:spacing w:before="60" w:after="60" w:line="240" w:lineRule="auto"/>
      <w:outlineLvl w:val="8"/>
    </w:pPr>
    <w:rPr>
      <w:i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rsid w:val="007112F5"/>
    <w:rPr>
      <w:rFonts w:ascii="Calibri" w:eastAsia="Calibri" w:hAnsi="Calibri" w:cs="Times New Roman"/>
      <w:b/>
      <w:bCs/>
      <w:color w:val="000000"/>
      <w:sz w:val="24"/>
      <w:szCs w:val="28"/>
      <w:lang w:val="de-DE" w:eastAsia="de-DE"/>
    </w:rPr>
  </w:style>
  <w:style w:type="character" w:customStyle="1" w:styleId="berschrift2Zchn">
    <w:name w:val="Überschrift 2 Zchn"/>
    <w:basedOn w:val="Absatz-Standardschriftart"/>
    <w:link w:val="berschrift2"/>
    <w:uiPriority w:val="99"/>
    <w:rsid w:val="007112F5"/>
    <w:rPr>
      <w:rFonts w:ascii="Calibri" w:eastAsia="Calibri" w:hAnsi="Calibri" w:cs="Times New Roman"/>
      <w:b/>
      <w:color w:val="000000"/>
      <w:sz w:val="24"/>
      <w:szCs w:val="26"/>
      <w:lang w:val="de-DE" w:eastAsia="de-DE"/>
    </w:rPr>
  </w:style>
  <w:style w:type="character" w:customStyle="1" w:styleId="berschrift3Zchn">
    <w:name w:val="Überschrift 3 Zchn"/>
    <w:basedOn w:val="Absatz-Standardschriftart"/>
    <w:link w:val="berschrift3"/>
    <w:uiPriority w:val="99"/>
    <w:rsid w:val="007112F5"/>
    <w:rPr>
      <w:rFonts w:ascii="Calibri" w:eastAsia="Calibri" w:hAnsi="Calibri" w:cs="Times New Roman"/>
      <w:b/>
      <w:color w:val="000000"/>
      <w:sz w:val="24"/>
      <w:szCs w:val="28"/>
      <w:lang w:val="de-DE" w:eastAsia="de-DE"/>
    </w:rPr>
  </w:style>
  <w:style w:type="character" w:customStyle="1" w:styleId="berschrift4Zchn">
    <w:name w:val="Überschrift 4 Zchn"/>
    <w:basedOn w:val="Absatz-Standardschriftart"/>
    <w:link w:val="berschrift4"/>
    <w:uiPriority w:val="99"/>
    <w:rsid w:val="007112F5"/>
    <w:rPr>
      <w:rFonts w:ascii="Calibri" w:eastAsia="Calibri" w:hAnsi="Calibri" w:cs="Times New Roman"/>
      <w:b/>
      <w:iCs/>
      <w:color w:val="000000"/>
      <w:sz w:val="24"/>
      <w:szCs w:val="28"/>
      <w:lang w:val="de-DE" w:eastAsia="de-DE"/>
    </w:rPr>
  </w:style>
  <w:style w:type="character" w:customStyle="1" w:styleId="berschrift5Zchn">
    <w:name w:val="Überschrift 5 Zchn"/>
    <w:basedOn w:val="Absatz-Standardschriftart"/>
    <w:link w:val="berschrift5"/>
    <w:uiPriority w:val="99"/>
    <w:rsid w:val="007112F5"/>
    <w:rPr>
      <w:rFonts w:ascii="Calibri" w:eastAsia="Calibri" w:hAnsi="Calibri" w:cs="Times New Roman"/>
      <w:b/>
      <w:bCs/>
      <w:color w:val="000000"/>
      <w:sz w:val="24"/>
      <w:szCs w:val="28"/>
      <w:lang w:val="de-DE" w:eastAsia="de-DE"/>
    </w:rPr>
  </w:style>
  <w:style w:type="character" w:customStyle="1" w:styleId="berschrift6Zchn">
    <w:name w:val="Überschrift 6 Zchn"/>
    <w:basedOn w:val="Absatz-Standardschriftart"/>
    <w:link w:val="berschrift6"/>
    <w:uiPriority w:val="99"/>
    <w:rsid w:val="007112F5"/>
    <w:rPr>
      <w:rFonts w:ascii="Calibri" w:eastAsia="Calibri" w:hAnsi="Calibri" w:cs="Times New Roman"/>
      <w:b/>
      <w:bCs/>
      <w:iCs/>
      <w:color w:val="000000"/>
      <w:sz w:val="24"/>
      <w:szCs w:val="28"/>
      <w:lang w:val="de-DE" w:eastAsia="de-DE"/>
    </w:rPr>
  </w:style>
  <w:style w:type="character" w:customStyle="1" w:styleId="berschrift7Zchn">
    <w:name w:val="Überschrift 7 Zchn"/>
    <w:basedOn w:val="Absatz-Standardschriftart"/>
    <w:link w:val="berschrift7"/>
    <w:uiPriority w:val="99"/>
    <w:semiHidden/>
    <w:rsid w:val="007112F5"/>
    <w:rPr>
      <w:rFonts w:ascii="Calibri" w:eastAsia="Calibri" w:hAnsi="Calibri" w:cs="Times New Roman"/>
      <w:b/>
      <w:bCs/>
      <w:iCs/>
      <w:color w:val="000000"/>
      <w:sz w:val="24"/>
      <w:szCs w:val="28"/>
      <w:lang w:val="de-DE" w:eastAsia="de-DE"/>
    </w:rPr>
  </w:style>
  <w:style w:type="character" w:customStyle="1" w:styleId="berschrift8Zchn">
    <w:name w:val="Überschrift 8 Zchn"/>
    <w:basedOn w:val="Absatz-Standardschriftart"/>
    <w:link w:val="berschrift8"/>
    <w:uiPriority w:val="99"/>
    <w:semiHidden/>
    <w:rsid w:val="007112F5"/>
    <w:rPr>
      <w:rFonts w:ascii="Calibri" w:eastAsia="Calibri" w:hAnsi="Calibri" w:cs="Times New Roman"/>
      <w:b/>
      <w:bCs/>
      <w:color w:val="000000"/>
      <w:sz w:val="24"/>
      <w:szCs w:val="28"/>
      <w:lang w:val="de-DE" w:eastAsia="de-DE"/>
    </w:rPr>
  </w:style>
  <w:style w:type="character" w:customStyle="1" w:styleId="berschrift9Zchn">
    <w:name w:val="Überschrift 9 Zchn"/>
    <w:basedOn w:val="Absatz-Standardschriftart"/>
    <w:link w:val="berschrift9"/>
    <w:uiPriority w:val="99"/>
    <w:semiHidden/>
    <w:rsid w:val="007112F5"/>
    <w:rPr>
      <w:rFonts w:ascii="Calibri" w:eastAsia="Calibri" w:hAnsi="Calibri" w:cs="Times New Roman"/>
      <w:iCs/>
      <w:sz w:val="24"/>
      <w:szCs w:val="24"/>
      <w:lang w:val="de-DE" w:eastAsia="de-DE"/>
    </w:rPr>
  </w:style>
  <w:style w:type="paragraph" w:styleId="Fuzeile">
    <w:name w:val="footer"/>
    <w:basedOn w:val="Standard"/>
    <w:link w:val="FuzeileZchn"/>
    <w:uiPriority w:val="99"/>
    <w:rsid w:val="007112F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112F5"/>
    <w:rPr>
      <w:rFonts w:ascii="Calibri" w:eastAsia="Calibri" w:hAnsi="Calibri" w:cs="Times New Roman"/>
      <w:sz w:val="20"/>
      <w:szCs w:val="20"/>
      <w:lang w:val="de-DE" w:eastAsia="de-DE"/>
    </w:rPr>
  </w:style>
  <w:style w:type="paragraph" w:customStyle="1" w:styleId="HerStandard12">
    <w:name w:val="HerStandard12"/>
    <w:basedOn w:val="Standard"/>
    <w:link w:val="HerStandard12Zchn"/>
    <w:qFormat/>
    <w:rsid w:val="007112F5"/>
    <w:pPr>
      <w:spacing w:before="100" w:beforeAutospacing="1" w:after="100" w:afterAutospacing="1"/>
    </w:pPr>
    <w:rPr>
      <w:rFonts w:ascii="Arial" w:hAnsi="Arial"/>
      <w:szCs w:val="24"/>
    </w:rPr>
  </w:style>
  <w:style w:type="character" w:customStyle="1" w:styleId="HerStandard12Zchn">
    <w:name w:val="HerStandard12 Zchn"/>
    <w:basedOn w:val="Absatz-Standardschriftart"/>
    <w:link w:val="HerStandard12"/>
    <w:rsid w:val="007112F5"/>
    <w:rPr>
      <w:rFonts w:ascii="Arial" w:eastAsia="Calibri" w:hAnsi="Arial" w:cs="Times New Roman"/>
      <w:sz w:val="20"/>
      <w:szCs w:val="24"/>
      <w:lang w:val="de-DE" w:eastAsia="de-DE"/>
    </w:rPr>
  </w:style>
  <w:style w:type="paragraph" w:styleId="Beschriftung">
    <w:name w:val="caption"/>
    <w:aliases w:val="Table"/>
    <w:basedOn w:val="berschrift8"/>
    <w:next w:val="berschrift8"/>
    <w:uiPriority w:val="35"/>
    <w:unhideWhenUsed/>
    <w:qFormat/>
    <w:rsid w:val="007112F5"/>
    <w:pPr>
      <w:spacing w:line="240" w:lineRule="auto"/>
    </w:pPr>
    <w:rPr>
      <w:rFonts w:asciiTheme="minorHAnsi" w:eastAsiaTheme="minorHAnsi" w:hAnsiTheme="minorHAnsi" w:cstheme="minorBidi"/>
      <w:b w:val="0"/>
      <w:bCs w:val="0"/>
      <w:color w:val="000000" w:themeColor="text1"/>
      <w:szCs w:val="18"/>
    </w:rPr>
  </w:style>
  <w:style w:type="character" w:styleId="Zeilennummer">
    <w:name w:val="line number"/>
    <w:basedOn w:val="Absatz-Standardschriftart"/>
    <w:uiPriority w:val="99"/>
    <w:semiHidden/>
    <w:unhideWhenUsed/>
    <w:rsid w:val="007112F5"/>
  </w:style>
  <w:style w:type="paragraph" w:styleId="Sprechblasentext">
    <w:name w:val="Balloon Text"/>
    <w:basedOn w:val="Standard"/>
    <w:link w:val="SprechblasentextZchn"/>
    <w:uiPriority w:val="99"/>
    <w:semiHidden/>
    <w:unhideWhenUsed/>
    <w:rsid w:val="00F306FD"/>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306FD"/>
    <w:rPr>
      <w:rFonts w:ascii="Segoe UI" w:eastAsia="Calibri" w:hAnsi="Segoe UI" w:cs="Segoe UI"/>
      <w:sz w:val="18"/>
      <w:szCs w:val="18"/>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Tabelle1!$A$1</c:f>
              <c:strCache>
                <c:ptCount val="1"/>
                <c:pt idx="0">
                  <c:v>Birth Cohort 1989</c:v>
                </c:pt>
              </c:strCache>
            </c:strRef>
          </c:tx>
          <c:spPr>
            <a:solidFill>
              <a:schemeClr val="accent1"/>
            </a:solidFill>
            <a:ln>
              <a:noFill/>
            </a:ln>
            <a:effectLst/>
          </c:spPr>
          <c:invertIfNegative val="0"/>
          <c:dLbls>
            <c:dLbl>
              <c:idx val="0"/>
              <c:layout/>
              <c:tx>
                <c:rich>
                  <a:bodyPr/>
                  <a:lstStyle/>
                  <a:p>
                    <a:fld id="{848EFF4F-860F-4C6A-898C-FAA15BCFC455}"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dLbl>
              <c:idx val="1"/>
              <c:layout/>
              <c:tx>
                <c:rich>
                  <a:bodyPr/>
                  <a:lstStyle/>
                  <a:p>
                    <a:fld id="{3A8576C5-B789-457D-AD38-84C1C5AB77AA}"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dLbl>
              <c:idx val="2"/>
              <c:layout/>
              <c:tx>
                <c:rich>
                  <a:bodyPr/>
                  <a:lstStyle/>
                  <a:p>
                    <a:fld id="{76CA2EA4-6B2F-4853-B019-FD3BCFA79F40}"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0"/>
            <c:showCatName val="0"/>
            <c:showSerName val="0"/>
            <c:showPercent val="0"/>
            <c:showBubbleSize val="0"/>
            <c:showLeaderLines val="0"/>
            <c:extLst xmlns:c16r2="http://schemas.microsoft.com/office/drawing/2015/06/chart">
              <c:ext xmlns:c15="http://schemas.microsoft.com/office/drawing/2012/chart" uri="{CE6537A1-D6FC-4f65-9D91-7224C49458BB}">
                <c15:layout/>
                <c15:showDataLabelsRange val="1"/>
                <c15:showLeaderLines val="1"/>
                <c15:leaderLines>
                  <c:spPr>
                    <a:ln w="15875" cap="flat" cmpd="sng" algn="ctr">
                      <a:solidFill>
                        <a:schemeClr val="accent1"/>
                      </a:solidFill>
                      <a:round/>
                    </a:ln>
                    <a:effectLst/>
                  </c:spPr>
                </c15:leaderLines>
              </c:ext>
            </c:extLst>
          </c:dLbls>
          <c:cat>
            <c:strRef>
              <c:f>Tabelle1!$A$2:$A$4</c:f>
              <c:strCache>
                <c:ptCount val="3"/>
                <c:pt idx="0">
                  <c:v>23 years</c:v>
                </c:pt>
                <c:pt idx="1">
                  <c:v>24 years</c:v>
                </c:pt>
                <c:pt idx="2">
                  <c:v>25 years</c:v>
                </c:pt>
              </c:strCache>
            </c:strRef>
          </c:cat>
          <c:val>
            <c:numRef>
              <c:f>Tabelle1!$B$2:$B$4</c:f>
              <c:numCache>
                <c:formatCode>0.00%</c:formatCode>
                <c:ptCount val="3"/>
                <c:pt idx="0">
                  <c:v>4.7999999999999996E-3</c:v>
                </c:pt>
                <c:pt idx="1">
                  <c:v>5.5996874593046003E-3</c:v>
                </c:pt>
                <c:pt idx="2">
                  <c:v>6.1893282950029318E-3</c:v>
                </c:pt>
              </c:numCache>
            </c:numRef>
          </c:val>
          <c:extLst xmlns:c16r2="http://schemas.microsoft.com/office/drawing/2015/06/chart">
            <c:ext xmlns:c16="http://schemas.microsoft.com/office/drawing/2014/chart" uri="{C3380CC4-5D6E-409C-BE32-E72D297353CC}">
              <c16:uniqueId val="{00000003-2D0B-4AED-886A-E670930938A9}"/>
            </c:ext>
            <c:ext xmlns:c15="http://schemas.microsoft.com/office/drawing/2012/chart" uri="{02D57815-91ED-43cb-92C2-25804820EDAC}">
              <c15:datalabelsRange>
                <c15:f>Tabelle1!$B$2:$B$4</c15:f>
                <c15:dlblRangeCache>
                  <c:ptCount val="3"/>
                  <c:pt idx="0">
                    <c:v>0.48%</c:v>
                  </c:pt>
                  <c:pt idx="1">
                    <c:v>0.56%</c:v>
                  </c:pt>
                  <c:pt idx="2">
                    <c:v>0.62%</c:v>
                  </c:pt>
                </c15:dlblRangeCache>
              </c15:datalabelsRange>
            </c:ext>
          </c:extLst>
        </c:ser>
        <c:ser>
          <c:idx val="1"/>
          <c:order val="1"/>
          <c:tx>
            <c:strRef>
              <c:f>Tabelle1!$A$6</c:f>
              <c:strCache>
                <c:ptCount val="1"/>
                <c:pt idx="0">
                  <c:v>Birth Cohort 1990</c:v>
                </c:pt>
              </c:strCache>
            </c:strRef>
          </c:tx>
          <c:spPr>
            <a:solidFill>
              <a:schemeClr val="bg2"/>
            </a:solidFill>
            <a:ln>
              <a:noFill/>
            </a:ln>
            <a:effectLst/>
          </c:spPr>
          <c:invertIfNegative val="0"/>
          <c:dLbls>
            <c:dLbl>
              <c:idx val="0"/>
              <c:layout/>
              <c:tx>
                <c:rich>
                  <a:bodyPr/>
                  <a:lstStyle/>
                  <a:p>
                    <a:fld id="{1D22366E-CDE1-4051-8449-9352E5B6D5C1}"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dLbl>
              <c:idx val="1"/>
              <c:layout/>
              <c:tx>
                <c:rich>
                  <a:bodyPr/>
                  <a:lstStyle/>
                  <a:p>
                    <a:fld id="{9F2BB234-8C15-43D8-BF62-FF2B14142C3A}"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dLbl>
              <c:idx val="2"/>
              <c:layout/>
              <c:tx>
                <c:rich>
                  <a:bodyPr/>
                  <a:lstStyle/>
                  <a:p>
                    <a:fld id="{A954B12F-9C0A-41EE-BA0A-918B1B4C5ABB}"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0"/>
            <c:showCatName val="0"/>
            <c:showSerName val="0"/>
            <c:showPercent val="0"/>
            <c:showBubbleSize val="0"/>
            <c:showLeaderLines val="0"/>
            <c:extLst xmlns:c16r2="http://schemas.microsoft.com/office/drawing/2015/06/chart">
              <c:ext xmlns:c15="http://schemas.microsoft.com/office/drawing/2012/chart" uri="{CE6537A1-D6FC-4f65-9D91-7224C49458BB}">
                <c15:layout/>
                <c15:showDataLabelsRange val="1"/>
                <c15:showLeaderLines val="1"/>
                <c15:leaderLines>
                  <c:spPr>
                    <a:ln w="15875" cap="flat" cmpd="sng" algn="ctr">
                      <a:solidFill>
                        <a:schemeClr val="accent2"/>
                      </a:solidFill>
                      <a:round/>
                    </a:ln>
                    <a:effectLst/>
                  </c:spPr>
                </c15:leaderLines>
              </c:ext>
            </c:extLst>
          </c:dLbls>
          <c:cat>
            <c:strRef>
              <c:f>Tabelle1!$A$2:$A$4</c:f>
              <c:strCache>
                <c:ptCount val="3"/>
                <c:pt idx="0">
                  <c:v>23 years</c:v>
                </c:pt>
                <c:pt idx="1">
                  <c:v>24 years</c:v>
                </c:pt>
                <c:pt idx="2">
                  <c:v>25 years</c:v>
                </c:pt>
              </c:strCache>
            </c:strRef>
          </c:cat>
          <c:val>
            <c:numRef>
              <c:f>Tabelle1!$B$7:$B$9</c:f>
              <c:numCache>
                <c:formatCode>0.00%</c:formatCode>
                <c:ptCount val="3"/>
                <c:pt idx="0">
                  <c:v>4.8999999999999998E-3</c:v>
                </c:pt>
                <c:pt idx="1">
                  <c:v>4.4924190428651646E-3</c:v>
                </c:pt>
                <c:pt idx="2">
                  <c:v>4.1193359131194611E-3</c:v>
                </c:pt>
              </c:numCache>
            </c:numRef>
          </c:val>
          <c:extLst xmlns:c16r2="http://schemas.microsoft.com/office/drawing/2015/06/chart">
            <c:ext xmlns:c16="http://schemas.microsoft.com/office/drawing/2014/chart" uri="{C3380CC4-5D6E-409C-BE32-E72D297353CC}">
              <c16:uniqueId val="{00000007-2D0B-4AED-886A-E670930938A9}"/>
            </c:ext>
            <c:ext xmlns:c15="http://schemas.microsoft.com/office/drawing/2012/chart" uri="{02D57815-91ED-43cb-92C2-25804820EDAC}">
              <c15:datalabelsRange>
                <c15:f>Tabelle1!$B$7:$B$9</c15:f>
                <c15:dlblRangeCache>
                  <c:ptCount val="3"/>
                  <c:pt idx="0">
                    <c:v>0.49%</c:v>
                  </c:pt>
                  <c:pt idx="1">
                    <c:v>0.45%</c:v>
                  </c:pt>
                  <c:pt idx="2">
                    <c:v>0.41%</c:v>
                  </c:pt>
                </c15:dlblRangeCache>
              </c15:datalabelsRange>
            </c:ext>
          </c:extLst>
        </c:ser>
        <c:ser>
          <c:idx val="2"/>
          <c:order val="2"/>
          <c:tx>
            <c:strRef>
              <c:f>Tabelle1!$A$11</c:f>
              <c:strCache>
                <c:ptCount val="1"/>
                <c:pt idx="0">
                  <c:v>Birth Cohort 1991</c:v>
                </c:pt>
              </c:strCache>
            </c:strRef>
          </c:tx>
          <c:spPr>
            <a:solidFill>
              <a:schemeClr val="accent3"/>
            </a:solidFill>
            <a:ln>
              <a:noFill/>
            </a:ln>
            <a:effectLst/>
          </c:spPr>
          <c:invertIfNegative val="0"/>
          <c:dLbls>
            <c:dLbl>
              <c:idx val="0"/>
              <c:layout/>
              <c:tx>
                <c:rich>
                  <a:bodyPr/>
                  <a:lstStyle/>
                  <a:p>
                    <a:fld id="{56FD98A8-E73F-41E8-A660-C781A8D1F03B}"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dLbl>
              <c:idx val="1"/>
              <c:layout/>
              <c:tx>
                <c:rich>
                  <a:bodyPr/>
                  <a:lstStyle/>
                  <a:p>
                    <a:fld id="{027C3F6F-19D7-4EBC-88FB-CC7A00E88259}"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dLbl>
              <c:idx val="2"/>
              <c:layout/>
              <c:tx>
                <c:rich>
                  <a:bodyPr/>
                  <a:lstStyle/>
                  <a:p>
                    <a:fld id="{A1CF4FCB-818A-46A6-9BF0-F02E970F5B12}"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0"/>
            <c:showCatName val="0"/>
            <c:showSerName val="0"/>
            <c:showPercent val="0"/>
            <c:showBubbleSize val="0"/>
            <c:showLeaderLines val="0"/>
            <c:extLst xmlns:c16r2="http://schemas.microsoft.com/office/drawing/2015/06/chart">
              <c:ext xmlns:c15="http://schemas.microsoft.com/office/drawing/2012/chart" uri="{CE6537A1-D6FC-4f65-9D91-7224C49458BB}">
                <c15:layout/>
                <c15:showDataLabelsRange val="1"/>
                <c15:showLeaderLines val="1"/>
                <c15:leaderLines>
                  <c:spPr>
                    <a:ln w="15875" cap="flat" cmpd="sng" algn="ctr">
                      <a:solidFill>
                        <a:schemeClr val="accent3"/>
                      </a:solidFill>
                      <a:round/>
                    </a:ln>
                    <a:effectLst/>
                  </c:spPr>
                </c15:leaderLines>
              </c:ext>
            </c:extLst>
          </c:dLbls>
          <c:cat>
            <c:strRef>
              <c:f>Tabelle1!$A$2:$A$4</c:f>
              <c:strCache>
                <c:ptCount val="3"/>
                <c:pt idx="0">
                  <c:v>23 years</c:v>
                </c:pt>
                <c:pt idx="1">
                  <c:v>24 years</c:v>
                </c:pt>
                <c:pt idx="2">
                  <c:v>25 years</c:v>
                </c:pt>
              </c:strCache>
            </c:strRef>
          </c:cat>
          <c:val>
            <c:numRef>
              <c:f>Tabelle1!$B$12:$B$14</c:f>
              <c:numCache>
                <c:formatCode>0.00%</c:formatCode>
                <c:ptCount val="3"/>
                <c:pt idx="0">
                  <c:v>3.9000000000000003E-3</c:v>
                </c:pt>
                <c:pt idx="1">
                  <c:v>2.9834553837808516E-3</c:v>
                </c:pt>
                <c:pt idx="2">
                  <c:v>2.9852771558450371E-3</c:v>
                </c:pt>
              </c:numCache>
            </c:numRef>
          </c:val>
          <c:extLst xmlns:c16r2="http://schemas.microsoft.com/office/drawing/2015/06/chart">
            <c:ext xmlns:c16="http://schemas.microsoft.com/office/drawing/2014/chart" uri="{C3380CC4-5D6E-409C-BE32-E72D297353CC}">
              <c16:uniqueId val="{0000000B-2D0B-4AED-886A-E670930938A9}"/>
            </c:ext>
            <c:ext xmlns:c15="http://schemas.microsoft.com/office/drawing/2012/chart" uri="{02D57815-91ED-43cb-92C2-25804820EDAC}">
              <c15:datalabelsRange>
                <c15:f>Tabelle1!$B$12:$B$14</c15:f>
                <c15:dlblRangeCache>
                  <c:ptCount val="3"/>
                  <c:pt idx="0">
                    <c:v>0.39%</c:v>
                  </c:pt>
                  <c:pt idx="1">
                    <c:v>0.30%</c:v>
                  </c:pt>
                  <c:pt idx="2">
                    <c:v>0.30%</c:v>
                  </c:pt>
                </c15:dlblRangeCache>
              </c15:datalabelsRange>
            </c:ext>
          </c:extLst>
        </c:ser>
        <c:ser>
          <c:idx val="3"/>
          <c:order val="3"/>
          <c:tx>
            <c:strRef>
              <c:f>Tabelle1!$A$16</c:f>
              <c:strCache>
                <c:ptCount val="1"/>
                <c:pt idx="0">
                  <c:v>Birth Cohort 1992</c:v>
                </c:pt>
              </c:strCache>
            </c:strRef>
          </c:tx>
          <c:spPr>
            <a:solidFill>
              <a:schemeClr val="accent4"/>
            </a:solidFill>
            <a:ln>
              <a:noFill/>
            </a:ln>
            <a:effectLst/>
          </c:spPr>
          <c:invertIfNegative val="0"/>
          <c:dLbls>
            <c:dLbl>
              <c:idx val="0"/>
              <c:layout/>
              <c:tx>
                <c:rich>
                  <a:bodyPr/>
                  <a:lstStyle/>
                  <a:p>
                    <a:fld id="{FC39E4F6-CA34-4F2D-8D3E-1921404B352E}"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dLbl>
              <c:idx val="1"/>
              <c:layout/>
              <c:tx>
                <c:rich>
                  <a:bodyPr/>
                  <a:lstStyle/>
                  <a:p>
                    <a:fld id="{C6C79C91-5790-4F7C-8DA1-358EAB56A582}"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dLbl>
              <c:idx val="2"/>
              <c:layout/>
              <c:tx>
                <c:rich>
                  <a:bodyPr/>
                  <a:lstStyle/>
                  <a:p>
                    <a:fld id="{B31139A3-0FE3-4827-8663-A675D14817F9}" type="CELLRANGE">
                      <a:rPr lang="de-DE"/>
                      <a:pPr/>
                      <a:t>[ZELLBEREICH]</a:t>
                    </a:fld>
                    <a:endParaRPr lang="de-DE"/>
                  </a:p>
                </c:rich>
              </c:tx>
              <c:dLblPos val="outEnd"/>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Lst>
            </c:dLbl>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0"/>
            <c:showCatName val="0"/>
            <c:showSerName val="0"/>
            <c:showPercent val="0"/>
            <c:showBubbleSize val="0"/>
            <c:showLeaderLines val="0"/>
            <c:extLst xmlns:c16r2="http://schemas.microsoft.com/office/drawing/2015/06/chart">
              <c:ext xmlns:c15="http://schemas.microsoft.com/office/drawing/2012/chart" uri="{CE6537A1-D6FC-4f65-9D91-7224C49458BB}">
                <c15:layout/>
                <c15:showDataLabelsRange val="1"/>
                <c15:showLeaderLines val="1"/>
                <c15:leaderLines>
                  <c:spPr>
                    <a:ln w="15875" cap="flat" cmpd="sng" algn="ctr">
                      <a:solidFill>
                        <a:schemeClr val="accent4"/>
                      </a:solidFill>
                      <a:round/>
                    </a:ln>
                    <a:effectLst/>
                  </c:spPr>
                </c15:leaderLines>
              </c:ext>
            </c:extLst>
          </c:dLbls>
          <c:cat>
            <c:strRef>
              <c:f>Tabelle1!$A$2:$A$4</c:f>
              <c:strCache>
                <c:ptCount val="3"/>
                <c:pt idx="0">
                  <c:v>23 years</c:v>
                </c:pt>
                <c:pt idx="1">
                  <c:v>24 years</c:v>
                </c:pt>
                <c:pt idx="2">
                  <c:v>25 years</c:v>
                </c:pt>
              </c:strCache>
            </c:strRef>
          </c:cat>
          <c:val>
            <c:numRef>
              <c:f>Tabelle1!$B$17:$B$19</c:f>
              <c:numCache>
                <c:formatCode>0.00%</c:formatCode>
                <c:ptCount val="3"/>
                <c:pt idx="0">
                  <c:v>3.5999999999999999E-3</c:v>
                </c:pt>
                <c:pt idx="1">
                  <c:v>4.1717130937962586E-3</c:v>
                </c:pt>
                <c:pt idx="2">
                  <c:v>4.2418529490977647E-3</c:v>
                </c:pt>
              </c:numCache>
            </c:numRef>
          </c:val>
          <c:extLst xmlns:c16r2="http://schemas.microsoft.com/office/drawing/2015/06/chart">
            <c:ext xmlns:c16="http://schemas.microsoft.com/office/drawing/2014/chart" uri="{C3380CC4-5D6E-409C-BE32-E72D297353CC}">
              <c16:uniqueId val="{0000000F-2D0B-4AED-886A-E670930938A9}"/>
            </c:ext>
            <c:ext xmlns:c15="http://schemas.microsoft.com/office/drawing/2012/chart" uri="{02D57815-91ED-43cb-92C2-25804820EDAC}">
              <c15:datalabelsRange>
                <c15:f>Tabelle1!$B$17:$B$19</c15:f>
                <c15:dlblRangeCache>
                  <c:ptCount val="3"/>
                  <c:pt idx="0">
                    <c:v>0.36%</c:v>
                  </c:pt>
                  <c:pt idx="1">
                    <c:v>0.42%</c:v>
                  </c:pt>
                  <c:pt idx="2">
                    <c:v>0.42%</c:v>
                  </c:pt>
                </c15:dlblRangeCache>
              </c15:datalabelsRange>
            </c:ext>
          </c:extLst>
        </c:ser>
        <c:dLbls>
          <c:dLblPos val="outEnd"/>
          <c:showLegendKey val="0"/>
          <c:showVal val="1"/>
          <c:showCatName val="0"/>
          <c:showSerName val="0"/>
          <c:showPercent val="0"/>
          <c:showBubbleSize val="0"/>
        </c:dLbls>
        <c:gapWidth val="219"/>
        <c:overlap val="-27"/>
        <c:axId val="131141624"/>
        <c:axId val="132020920"/>
      </c:barChart>
      <c:catAx>
        <c:axId val="1311416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crossAx val="132020920"/>
        <c:crosses val="autoZero"/>
        <c:auto val="1"/>
        <c:lblAlgn val="ctr"/>
        <c:lblOffset val="100"/>
        <c:noMultiLvlLbl val="0"/>
      </c:catAx>
      <c:valAx>
        <c:axId val="132020920"/>
        <c:scaling>
          <c:orientation val="minMax"/>
          <c:max val="1.0000000000000002E-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crossAx val="131141624"/>
        <c:crosses val="autoZero"/>
        <c:crossBetween val="between"/>
      </c:valAx>
      <c:spPr>
        <a:noFill/>
        <a:ln w="25400">
          <a:noFill/>
        </a:ln>
        <a:effectLst/>
      </c:spPr>
    </c:plotArea>
    <c:legend>
      <c:legendPos val="b"/>
      <c:layout>
        <c:manualLayout>
          <c:xMode val="edge"/>
          <c:yMode val="edge"/>
          <c:x val="0.1718370433961986"/>
          <c:y val="0.94484192701718739"/>
          <c:w val="0.5874663111309899"/>
          <c:h val="5.5158072982812625E-2"/>
        </c:manualLayout>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800">
          <a:solidFill>
            <a:sysClr val="windowText" lastClr="000000"/>
          </a:solidFill>
        </a:defRPr>
      </a:pPr>
      <a:endParaRPr lang="de-DE"/>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Tabelle1!$B$1</c:f>
              <c:strCache>
                <c:ptCount val="1"/>
                <c:pt idx="0">
                  <c:v>Birth Cohort 1989</c:v>
                </c:pt>
              </c:strCache>
            </c:strRef>
          </c:tx>
          <c:spPr>
            <a:solidFill>
              <a:schemeClr val="accent1"/>
            </a:solidFill>
            <a:ln>
              <a:noFill/>
            </a:ln>
            <a:effectLst/>
          </c:spPr>
          <c:invertIfNegative val="0"/>
          <c:dLbls>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1"/>
                      </a:solidFill>
                      <a:round/>
                    </a:ln>
                    <a:effectLst/>
                  </c:spPr>
                </c15:leaderLines>
              </c:ext>
            </c:extLst>
          </c:dLbls>
          <c:cat>
            <c:strRef>
              <c:f>Tabelle1!$A$2:$A$4</c:f>
              <c:strCache>
                <c:ptCount val="3"/>
                <c:pt idx="0">
                  <c:v>23 years</c:v>
                </c:pt>
                <c:pt idx="1">
                  <c:v>24 years</c:v>
                </c:pt>
                <c:pt idx="2">
                  <c:v>25 years</c:v>
                </c:pt>
              </c:strCache>
            </c:strRef>
          </c:cat>
          <c:val>
            <c:numRef>
              <c:f>Tabelle1!$B$2:$B$4</c:f>
              <c:numCache>
                <c:formatCode>0.00%</c:formatCode>
                <c:ptCount val="3"/>
                <c:pt idx="0">
                  <c:v>4.5999999999999999E-3</c:v>
                </c:pt>
                <c:pt idx="1">
                  <c:v>6.6436527063114701E-3</c:v>
                </c:pt>
                <c:pt idx="2">
                  <c:v>7.2317414815297413E-3</c:v>
                </c:pt>
              </c:numCache>
            </c:numRef>
          </c:val>
          <c:extLst xmlns:c16r2="http://schemas.microsoft.com/office/drawing/2015/06/chart">
            <c:ext xmlns:c16="http://schemas.microsoft.com/office/drawing/2014/chart" uri="{C3380CC4-5D6E-409C-BE32-E72D297353CC}">
              <c16:uniqueId val="{00000000-757E-4511-BBF1-11D0270121FC}"/>
            </c:ext>
          </c:extLst>
        </c:ser>
        <c:ser>
          <c:idx val="1"/>
          <c:order val="1"/>
          <c:tx>
            <c:strRef>
              <c:f>Tabelle1!$C$1</c:f>
              <c:strCache>
                <c:ptCount val="1"/>
                <c:pt idx="0">
                  <c:v>Birth Cohort 1990</c:v>
                </c:pt>
              </c:strCache>
            </c:strRef>
          </c:tx>
          <c:spPr>
            <a:solidFill>
              <a:schemeClr val="bg2"/>
            </a:solidFill>
            <a:ln>
              <a:noFill/>
            </a:ln>
            <a:effectLst/>
          </c:spPr>
          <c:invertIfNegative val="0"/>
          <c:dLbls>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2"/>
                      </a:solidFill>
                      <a:round/>
                    </a:ln>
                    <a:effectLst/>
                  </c:spPr>
                </c15:leaderLines>
              </c:ext>
            </c:extLst>
          </c:dLbls>
          <c:cat>
            <c:strRef>
              <c:f>Tabelle1!$A$2:$A$4</c:f>
              <c:strCache>
                <c:ptCount val="3"/>
                <c:pt idx="0">
                  <c:v>23 years</c:v>
                </c:pt>
                <c:pt idx="1">
                  <c:v>24 years</c:v>
                </c:pt>
                <c:pt idx="2">
                  <c:v>25 years</c:v>
                </c:pt>
              </c:strCache>
            </c:strRef>
          </c:cat>
          <c:val>
            <c:numRef>
              <c:f>Tabelle1!$C$2:$C$4</c:f>
              <c:numCache>
                <c:formatCode>0.00%</c:formatCode>
                <c:ptCount val="3"/>
                <c:pt idx="0">
                  <c:v>6.3642603107256501E-3</c:v>
                </c:pt>
                <c:pt idx="1">
                  <c:v>6.4902646030953566E-3</c:v>
                </c:pt>
                <c:pt idx="2">
                  <c:v>6.865559855199101E-3</c:v>
                </c:pt>
              </c:numCache>
            </c:numRef>
          </c:val>
          <c:extLst xmlns:c16r2="http://schemas.microsoft.com/office/drawing/2015/06/chart">
            <c:ext xmlns:c16="http://schemas.microsoft.com/office/drawing/2014/chart" uri="{C3380CC4-5D6E-409C-BE32-E72D297353CC}">
              <c16:uniqueId val="{00000001-757E-4511-BBF1-11D0270121FC}"/>
            </c:ext>
          </c:extLst>
        </c:ser>
        <c:ser>
          <c:idx val="2"/>
          <c:order val="2"/>
          <c:tx>
            <c:strRef>
              <c:f>Tabelle1!$D$1</c:f>
              <c:strCache>
                <c:ptCount val="1"/>
                <c:pt idx="0">
                  <c:v>Birth Cohort 1991</c:v>
                </c:pt>
              </c:strCache>
            </c:strRef>
          </c:tx>
          <c:spPr>
            <a:solidFill>
              <a:schemeClr val="accent3"/>
            </a:solidFill>
            <a:ln>
              <a:noFill/>
            </a:ln>
            <a:effectLst/>
          </c:spPr>
          <c:invertIfNegative val="0"/>
          <c:dLbls>
            <c:spPr>
              <a:solidFill>
                <a:schemeClr val="bg1"/>
              </a:solid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3"/>
                      </a:solidFill>
                      <a:round/>
                    </a:ln>
                    <a:effectLst/>
                  </c:spPr>
                </c15:leaderLines>
              </c:ext>
            </c:extLst>
          </c:dLbls>
          <c:cat>
            <c:strRef>
              <c:f>Tabelle1!$A$2:$A$4</c:f>
              <c:strCache>
                <c:ptCount val="3"/>
                <c:pt idx="0">
                  <c:v>23 years</c:v>
                </c:pt>
                <c:pt idx="1">
                  <c:v>24 years</c:v>
                </c:pt>
                <c:pt idx="2">
                  <c:v>25 years</c:v>
                </c:pt>
              </c:strCache>
            </c:strRef>
          </c:cat>
          <c:val>
            <c:numRef>
              <c:f>Tabelle1!$D$2:$D$4</c:f>
              <c:numCache>
                <c:formatCode>0.00%</c:formatCode>
                <c:ptCount val="3"/>
                <c:pt idx="0">
                  <c:v>6.8483862218605912E-3</c:v>
                </c:pt>
                <c:pt idx="1">
                  <c:v>7.1903405236738568E-3</c:v>
                </c:pt>
                <c:pt idx="2">
                  <c:v>5.6313182712531377E-3</c:v>
                </c:pt>
              </c:numCache>
            </c:numRef>
          </c:val>
          <c:extLst xmlns:c16r2="http://schemas.microsoft.com/office/drawing/2015/06/chart">
            <c:ext xmlns:c16="http://schemas.microsoft.com/office/drawing/2014/chart" uri="{C3380CC4-5D6E-409C-BE32-E72D297353CC}">
              <c16:uniqueId val="{00000002-757E-4511-BBF1-11D0270121FC}"/>
            </c:ext>
          </c:extLst>
        </c:ser>
        <c:ser>
          <c:idx val="3"/>
          <c:order val="3"/>
          <c:tx>
            <c:strRef>
              <c:f>Tabelle1!$E$1</c:f>
              <c:strCache>
                <c:ptCount val="1"/>
                <c:pt idx="0">
                  <c:v>Birth Cohort 1992</c:v>
                </c:pt>
              </c:strCache>
            </c:strRef>
          </c:tx>
          <c:spPr>
            <a:solidFill>
              <a:schemeClr val="accent4"/>
            </a:solidFill>
            <a:ln>
              <a:noFill/>
            </a:ln>
            <a:effectLst/>
          </c:spPr>
          <c:invertIfNegative val="0"/>
          <c:dLbls>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4"/>
                      </a:solidFill>
                      <a:round/>
                    </a:ln>
                    <a:effectLst/>
                  </c:spPr>
                </c15:leaderLines>
              </c:ext>
            </c:extLst>
          </c:dLbls>
          <c:cat>
            <c:strRef>
              <c:f>Tabelle1!$A$2:$A$4</c:f>
              <c:strCache>
                <c:ptCount val="3"/>
                <c:pt idx="0">
                  <c:v>23 years</c:v>
                </c:pt>
                <c:pt idx="1">
                  <c:v>24 years</c:v>
                </c:pt>
                <c:pt idx="2">
                  <c:v>25 years</c:v>
                </c:pt>
              </c:strCache>
            </c:strRef>
          </c:cat>
          <c:val>
            <c:numRef>
              <c:f>Tabelle1!$E$2:$E$4</c:f>
              <c:numCache>
                <c:formatCode>0.00%</c:formatCode>
                <c:ptCount val="3"/>
                <c:pt idx="0">
                  <c:v>5.1809985197147088E-3</c:v>
                </c:pt>
                <c:pt idx="1">
                  <c:v>5.4530766123603068E-3</c:v>
                </c:pt>
                <c:pt idx="2">
                  <c:v>5.4538109345542689E-3</c:v>
                </c:pt>
              </c:numCache>
            </c:numRef>
          </c:val>
          <c:extLst xmlns:c16r2="http://schemas.microsoft.com/office/drawing/2015/06/chart">
            <c:ext xmlns:c16="http://schemas.microsoft.com/office/drawing/2014/chart" uri="{C3380CC4-5D6E-409C-BE32-E72D297353CC}">
              <c16:uniqueId val="{00000003-757E-4511-BBF1-11D0270121FC}"/>
            </c:ext>
          </c:extLst>
        </c:ser>
        <c:dLbls>
          <c:dLblPos val="outEnd"/>
          <c:showLegendKey val="0"/>
          <c:showVal val="1"/>
          <c:showCatName val="0"/>
          <c:showSerName val="0"/>
          <c:showPercent val="0"/>
          <c:showBubbleSize val="0"/>
        </c:dLbls>
        <c:gapWidth val="219"/>
        <c:overlap val="-27"/>
        <c:axId val="131665312"/>
        <c:axId val="131611264"/>
      </c:barChart>
      <c:catAx>
        <c:axId val="131665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crossAx val="131611264"/>
        <c:crosses val="autoZero"/>
        <c:auto val="1"/>
        <c:lblAlgn val="ctr"/>
        <c:lblOffset val="100"/>
        <c:noMultiLvlLbl val="0"/>
      </c:catAx>
      <c:valAx>
        <c:axId val="131611264"/>
        <c:scaling>
          <c:orientation val="minMax"/>
          <c:max val="1.0000000000000002E-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crossAx val="1316653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800">
          <a:solidFill>
            <a:sysClr val="windowText" lastClr="000000"/>
          </a:solidFill>
        </a:defRPr>
      </a:pPr>
      <a:endParaRPr lang="de-DE"/>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Tabelle1!$B$1</c:f>
              <c:strCache>
                <c:ptCount val="1"/>
                <c:pt idx="0">
                  <c:v>Birth Cohort 1989</c:v>
                </c:pt>
              </c:strCache>
            </c:strRef>
          </c:tx>
          <c:spPr>
            <a:solidFill>
              <a:schemeClr val="accent1"/>
            </a:solidFill>
            <a:ln>
              <a:noFill/>
            </a:ln>
            <a:effectLst/>
          </c:spPr>
          <c:invertIfNegative val="0"/>
          <c:dLbls>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1"/>
                      </a:solidFill>
                      <a:round/>
                    </a:ln>
                    <a:effectLst/>
                  </c:spPr>
                </c15:leaderLines>
              </c:ext>
            </c:extLst>
          </c:dLbls>
          <c:cat>
            <c:strRef>
              <c:f>Tabelle1!$A$2:$A$4</c:f>
              <c:strCache>
                <c:ptCount val="3"/>
                <c:pt idx="0">
                  <c:v>23 years</c:v>
                </c:pt>
                <c:pt idx="1">
                  <c:v>24 years</c:v>
                </c:pt>
                <c:pt idx="2">
                  <c:v>25 years</c:v>
                </c:pt>
              </c:strCache>
            </c:strRef>
          </c:cat>
          <c:val>
            <c:numRef>
              <c:f>Tabelle1!$B$2:$B$4</c:f>
              <c:numCache>
                <c:formatCode>0.00%</c:formatCode>
                <c:ptCount val="3"/>
                <c:pt idx="0">
                  <c:v>1.8231540565177757E-3</c:v>
                </c:pt>
                <c:pt idx="1">
                  <c:v>2.7356217025988408E-3</c:v>
                </c:pt>
                <c:pt idx="2">
                  <c:v>3.062088735422503E-3</c:v>
                </c:pt>
              </c:numCache>
            </c:numRef>
          </c:val>
          <c:extLst xmlns:c16r2="http://schemas.microsoft.com/office/drawing/2015/06/chart">
            <c:ext xmlns:c16="http://schemas.microsoft.com/office/drawing/2014/chart" uri="{C3380CC4-5D6E-409C-BE32-E72D297353CC}">
              <c16:uniqueId val="{00000000-F980-4EED-B480-AF8849B18F95}"/>
            </c:ext>
          </c:extLst>
        </c:ser>
        <c:ser>
          <c:idx val="1"/>
          <c:order val="1"/>
          <c:tx>
            <c:strRef>
              <c:f>Tabelle1!$C$1</c:f>
              <c:strCache>
                <c:ptCount val="1"/>
                <c:pt idx="0">
                  <c:v>Birth Cohort 1990</c:v>
                </c:pt>
              </c:strCache>
            </c:strRef>
          </c:tx>
          <c:spPr>
            <a:solidFill>
              <a:schemeClr val="bg2"/>
            </a:solidFill>
            <a:ln>
              <a:noFill/>
            </a:ln>
            <a:effectLst/>
          </c:spPr>
          <c:invertIfNegative val="0"/>
          <c:dLbls>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2"/>
                      </a:solidFill>
                      <a:round/>
                    </a:ln>
                    <a:effectLst/>
                  </c:spPr>
                </c15:leaderLines>
              </c:ext>
            </c:extLst>
          </c:dLbls>
          <c:cat>
            <c:strRef>
              <c:f>Tabelle1!$A$2:$A$4</c:f>
              <c:strCache>
                <c:ptCount val="3"/>
                <c:pt idx="0">
                  <c:v>23 years</c:v>
                </c:pt>
                <c:pt idx="1">
                  <c:v>24 years</c:v>
                </c:pt>
                <c:pt idx="2">
                  <c:v>25 years</c:v>
                </c:pt>
              </c:strCache>
            </c:strRef>
          </c:cat>
          <c:val>
            <c:numRef>
              <c:f>Tabelle1!$C$2:$C$4</c:f>
              <c:numCache>
                <c:formatCode>0.00%</c:formatCode>
                <c:ptCount val="3"/>
                <c:pt idx="0">
                  <c:v>1.247894178573657E-3</c:v>
                </c:pt>
                <c:pt idx="1">
                  <c:v>1.8097853220169745E-3</c:v>
                </c:pt>
                <c:pt idx="2">
                  <c:v>2.6213955810760205E-3</c:v>
                </c:pt>
              </c:numCache>
            </c:numRef>
          </c:val>
          <c:extLst xmlns:c16r2="http://schemas.microsoft.com/office/drawing/2015/06/chart">
            <c:ext xmlns:c16="http://schemas.microsoft.com/office/drawing/2014/chart" uri="{C3380CC4-5D6E-409C-BE32-E72D297353CC}">
              <c16:uniqueId val="{00000001-F980-4EED-B480-AF8849B18F95}"/>
            </c:ext>
          </c:extLst>
        </c:ser>
        <c:ser>
          <c:idx val="2"/>
          <c:order val="2"/>
          <c:tx>
            <c:strRef>
              <c:f>Tabelle1!$D$1</c:f>
              <c:strCache>
                <c:ptCount val="1"/>
                <c:pt idx="0">
                  <c:v>Birth Cohort 1991</c:v>
                </c:pt>
              </c:strCache>
            </c:strRef>
          </c:tx>
          <c:spPr>
            <a:solidFill>
              <a:schemeClr val="accent3"/>
            </a:solidFill>
            <a:ln>
              <a:noFill/>
            </a:ln>
            <a:effectLst/>
          </c:spPr>
          <c:invertIfNegative val="0"/>
          <c:dLbls>
            <c:spPr>
              <a:solidFill>
                <a:schemeClr val="bg1"/>
              </a:solid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3"/>
                      </a:solidFill>
                      <a:round/>
                    </a:ln>
                    <a:effectLst/>
                  </c:spPr>
                </c15:leaderLines>
              </c:ext>
            </c:extLst>
          </c:dLbls>
          <c:cat>
            <c:strRef>
              <c:f>Tabelle1!$A$2:$A$4</c:f>
              <c:strCache>
                <c:ptCount val="3"/>
                <c:pt idx="0">
                  <c:v>23 years</c:v>
                </c:pt>
                <c:pt idx="1">
                  <c:v>24 years</c:v>
                </c:pt>
                <c:pt idx="2">
                  <c:v>25 years</c:v>
                </c:pt>
              </c:strCache>
            </c:strRef>
          </c:cat>
          <c:val>
            <c:numRef>
              <c:f>Tabelle1!$D$2:$D$4</c:f>
              <c:numCache>
                <c:formatCode>0.00%</c:formatCode>
                <c:ptCount val="3"/>
                <c:pt idx="0">
                  <c:v>1.6273393002441008E-3</c:v>
                </c:pt>
                <c:pt idx="1">
                  <c:v>2.2385022385022386E-3</c:v>
                </c:pt>
                <c:pt idx="2">
                  <c:v>2.1711106587963907E-3</c:v>
                </c:pt>
              </c:numCache>
            </c:numRef>
          </c:val>
          <c:extLst xmlns:c16r2="http://schemas.microsoft.com/office/drawing/2015/06/chart">
            <c:ext xmlns:c16="http://schemas.microsoft.com/office/drawing/2014/chart" uri="{C3380CC4-5D6E-409C-BE32-E72D297353CC}">
              <c16:uniqueId val="{00000002-F980-4EED-B480-AF8849B18F95}"/>
            </c:ext>
          </c:extLst>
        </c:ser>
        <c:ser>
          <c:idx val="3"/>
          <c:order val="3"/>
          <c:tx>
            <c:strRef>
              <c:f>Tabelle1!$E$1</c:f>
              <c:strCache>
                <c:ptCount val="1"/>
                <c:pt idx="0">
                  <c:v>Birth Cohort 1992</c:v>
                </c:pt>
              </c:strCache>
            </c:strRef>
          </c:tx>
          <c:spPr>
            <a:solidFill>
              <a:schemeClr val="accent4"/>
            </a:solidFill>
            <a:ln>
              <a:noFill/>
            </a:ln>
            <a:effectLst/>
          </c:spPr>
          <c:invertIfNegative val="0"/>
          <c:dLbls>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4"/>
                      </a:solidFill>
                      <a:round/>
                    </a:ln>
                    <a:effectLst/>
                  </c:spPr>
                </c15:leaderLines>
              </c:ext>
            </c:extLst>
          </c:dLbls>
          <c:cat>
            <c:strRef>
              <c:f>Tabelle1!$A$2:$A$4</c:f>
              <c:strCache>
                <c:ptCount val="3"/>
                <c:pt idx="0">
                  <c:v>23 years</c:v>
                </c:pt>
                <c:pt idx="1">
                  <c:v>24 years</c:v>
                </c:pt>
                <c:pt idx="2">
                  <c:v>25 years</c:v>
                </c:pt>
              </c:strCache>
            </c:strRef>
          </c:cat>
          <c:val>
            <c:numRef>
              <c:f>Tabelle1!$E$2:$E$4</c:f>
              <c:numCache>
                <c:formatCode>0.00%</c:formatCode>
                <c:ptCount val="3"/>
                <c:pt idx="0">
                  <c:v>2.2204279370205892E-3</c:v>
                </c:pt>
                <c:pt idx="1">
                  <c:v>2.0196580045778916E-3</c:v>
                </c:pt>
                <c:pt idx="2">
                  <c:v>2.4912469701050361E-3</c:v>
                </c:pt>
              </c:numCache>
            </c:numRef>
          </c:val>
          <c:extLst xmlns:c16r2="http://schemas.microsoft.com/office/drawing/2015/06/chart">
            <c:ext xmlns:c16="http://schemas.microsoft.com/office/drawing/2014/chart" uri="{C3380CC4-5D6E-409C-BE32-E72D297353CC}">
              <c16:uniqueId val="{00000003-F980-4EED-B480-AF8849B18F95}"/>
            </c:ext>
          </c:extLst>
        </c:ser>
        <c:dLbls>
          <c:dLblPos val="outEnd"/>
          <c:showLegendKey val="0"/>
          <c:showVal val="1"/>
          <c:showCatName val="0"/>
          <c:showSerName val="0"/>
          <c:showPercent val="0"/>
          <c:showBubbleSize val="0"/>
        </c:dLbls>
        <c:gapWidth val="219"/>
        <c:overlap val="-27"/>
        <c:axId val="133111376"/>
        <c:axId val="132574496"/>
      </c:barChart>
      <c:catAx>
        <c:axId val="133111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crossAx val="132574496"/>
        <c:crosses val="autoZero"/>
        <c:auto val="1"/>
        <c:lblAlgn val="ctr"/>
        <c:lblOffset val="100"/>
        <c:noMultiLvlLbl val="0"/>
      </c:catAx>
      <c:valAx>
        <c:axId val="132574496"/>
        <c:scaling>
          <c:orientation val="minMax"/>
          <c:max val="1.0000000000000002E-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crossAx val="13311137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800">
          <a:solidFill>
            <a:sysClr val="windowText" lastClr="000000"/>
          </a:solidFill>
        </a:defRPr>
      </a:pPr>
      <a:endParaRPr lang="de-DE"/>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Tabelle1!$B$1</c:f>
              <c:strCache>
                <c:ptCount val="1"/>
                <c:pt idx="0">
                  <c:v>Birth Cohort 1989</c:v>
                </c:pt>
              </c:strCache>
            </c:strRef>
          </c:tx>
          <c:spPr>
            <a:solidFill>
              <a:schemeClr val="accent1"/>
            </a:solidFill>
            <a:ln>
              <a:noFill/>
            </a:ln>
            <a:effectLst/>
          </c:spPr>
          <c:invertIfNegative val="0"/>
          <c:dLbls>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1"/>
                      </a:solidFill>
                      <a:round/>
                    </a:ln>
                    <a:effectLst/>
                  </c:spPr>
                </c15:leaderLines>
              </c:ext>
            </c:extLst>
          </c:dLbls>
          <c:cat>
            <c:strRef>
              <c:f>Tabelle1!$A$2:$A$4</c:f>
              <c:strCache>
                <c:ptCount val="3"/>
                <c:pt idx="0">
                  <c:v>23 years</c:v>
                </c:pt>
                <c:pt idx="1">
                  <c:v>24 years</c:v>
                </c:pt>
                <c:pt idx="2">
                  <c:v>25 years</c:v>
                </c:pt>
              </c:strCache>
            </c:strRef>
          </c:cat>
          <c:val>
            <c:numRef>
              <c:f>Tabelle1!$B$2:$B$4</c:f>
              <c:numCache>
                <c:formatCode>0.00%</c:formatCode>
                <c:ptCount val="3"/>
                <c:pt idx="0">
                  <c:v>2.4742805052741243E-3</c:v>
                </c:pt>
                <c:pt idx="1">
                  <c:v>5.0153064547645409E-3</c:v>
                </c:pt>
                <c:pt idx="2">
                  <c:v>6.3847807674767085E-3</c:v>
                </c:pt>
              </c:numCache>
            </c:numRef>
          </c:val>
          <c:extLst xmlns:c16r2="http://schemas.microsoft.com/office/drawing/2015/06/chart">
            <c:ext xmlns:c16="http://schemas.microsoft.com/office/drawing/2014/chart" uri="{C3380CC4-5D6E-409C-BE32-E72D297353CC}">
              <c16:uniqueId val="{00000000-F69E-45A9-9449-7F08C348C9EC}"/>
            </c:ext>
          </c:extLst>
        </c:ser>
        <c:ser>
          <c:idx val="1"/>
          <c:order val="1"/>
          <c:tx>
            <c:strRef>
              <c:f>Tabelle1!$C$1</c:f>
              <c:strCache>
                <c:ptCount val="1"/>
                <c:pt idx="0">
                  <c:v>Birth Cohort 1990</c:v>
                </c:pt>
              </c:strCache>
            </c:strRef>
          </c:tx>
          <c:spPr>
            <a:solidFill>
              <a:schemeClr val="bg2"/>
            </a:solidFill>
            <a:ln>
              <a:noFill/>
            </a:ln>
            <a:effectLst/>
          </c:spPr>
          <c:invertIfNegative val="0"/>
          <c:dLbls>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2"/>
                      </a:solidFill>
                      <a:round/>
                    </a:ln>
                    <a:effectLst/>
                  </c:spPr>
                </c15:leaderLines>
              </c:ext>
            </c:extLst>
          </c:dLbls>
          <c:cat>
            <c:strRef>
              <c:f>Tabelle1!$A$2:$A$4</c:f>
              <c:strCache>
                <c:ptCount val="3"/>
                <c:pt idx="0">
                  <c:v>23 years</c:v>
                </c:pt>
                <c:pt idx="1">
                  <c:v>24 years</c:v>
                </c:pt>
                <c:pt idx="2">
                  <c:v>25 years</c:v>
                </c:pt>
              </c:strCache>
            </c:strRef>
          </c:cat>
          <c:val>
            <c:numRef>
              <c:f>Tabelle1!$C$2:$C$4</c:f>
              <c:numCache>
                <c:formatCode>0.00%</c:formatCode>
                <c:ptCount val="3"/>
                <c:pt idx="0">
                  <c:v>3.9308666625070196E-3</c:v>
                </c:pt>
                <c:pt idx="1">
                  <c:v>4.1812281577633548E-3</c:v>
                </c:pt>
                <c:pt idx="2">
                  <c:v>4.8058918986393709E-3</c:v>
                </c:pt>
              </c:numCache>
            </c:numRef>
          </c:val>
          <c:extLst xmlns:c16r2="http://schemas.microsoft.com/office/drawing/2015/06/chart">
            <c:ext xmlns:c16="http://schemas.microsoft.com/office/drawing/2014/chart" uri="{C3380CC4-5D6E-409C-BE32-E72D297353CC}">
              <c16:uniqueId val="{00000001-F69E-45A9-9449-7F08C348C9EC}"/>
            </c:ext>
          </c:extLst>
        </c:ser>
        <c:ser>
          <c:idx val="2"/>
          <c:order val="2"/>
          <c:tx>
            <c:strRef>
              <c:f>Tabelle1!$D$1</c:f>
              <c:strCache>
                <c:ptCount val="1"/>
                <c:pt idx="0">
                  <c:v>Birth Cohort 1991</c:v>
                </c:pt>
              </c:strCache>
            </c:strRef>
          </c:tx>
          <c:spPr>
            <a:solidFill>
              <a:schemeClr val="accent3"/>
            </a:solidFill>
            <a:ln>
              <a:noFill/>
            </a:ln>
            <a:effectLst/>
          </c:spPr>
          <c:invertIfNegative val="0"/>
          <c:dLbls>
            <c:spPr>
              <a:solidFill>
                <a:schemeClr val="bg1"/>
              </a:solid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3"/>
                      </a:solidFill>
                      <a:round/>
                    </a:ln>
                    <a:effectLst/>
                  </c:spPr>
                </c15:leaderLines>
              </c:ext>
            </c:extLst>
          </c:dLbls>
          <c:cat>
            <c:strRef>
              <c:f>Tabelle1!$A$2:$A$4</c:f>
              <c:strCache>
                <c:ptCount val="3"/>
                <c:pt idx="0">
                  <c:v>23 years</c:v>
                </c:pt>
                <c:pt idx="1">
                  <c:v>24 years</c:v>
                </c:pt>
                <c:pt idx="2">
                  <c:v>25 years</c:v>
                </c:pt>
              </c:strCache>
            </c:strRef>
          </c:cat>
          <c:val>
            <c:numRef>
              <c:f>Tabelle1!$D$2:$D$4</c:f>
              <c:numCache>
                <c:formatCode>0.00%</c:formatCode>
                <c:ptCount val="3"/>
                <c:pt idx="0">
                  <c:v>3.6615134255492269E-3</c:v>
                </c:pt>
                <c:pt idx="1">
                  <c:v>2.71333604666938E-3</c:v>
                </c:pt>
                <c:pt idx="2">
                  <c:v>3.7994436528936836E-3</c:v>
                </c:pt>
              </c:numCache>
            </c:numRef>
          </c:val>
          <c:extLst xmlns:c16r2="http://schemas.microsoft.com/office/drawing/2015/06/chart">
            <c:ext xmlns:c16="http://schemas.microsoft.com/office/drawing/2014/chart" uri="{C3380CC4-5D6E-409C-BE32-E72D297353CC}">
              <c16:uniqueId val="{00000002-F69E-45A9-9449-7F08C348C9EC}"/>
            </c:ext>
          </c:extLst>
        </c:ser>
        <c:ser>
          <c:idx val="3"/>
          <c:order val="3"/>
          <c:tx>
            <c:strRef>
              <c:f>Tabelle1!$E$1</c:f>
              <c:strCache>
                <c:ptCount val="1"/>
                <c:pt idx="0">
                  <c:v>Birth Cohort 1992</c:v>
                </c:pt>
              </c:strCache>
            </c:strRef>
          </c:tx>
          <c:spPr>
            <a:solidFill>
              <a:schemeClr val="accent4"/>
            </a:solidFill>
            <a:ln>
              <a:noFill/>
            </a:ln>
            <a:effectLst/>
          </c:spPr>
          <c:invertIfNegative val="0"/>
          <c:dLbls>
            <c:spPr>
              <a:noFill/>
              <a:ln w="15875">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15875" cap="flat" cmpd="sng" algn="ctr">
                      <a:solidFill>
                        <a:schemeClr val="accent4"/>
                      </a:solidFill>
                      <a:round/>
                    </a:ln>
                    <a:effectLst/>
                  </c:spPr>
                </c15:leaderLines>
              </c:ext>
            </c:extLst>
          </c:dLbls>
          <c:cat>
            <c:strRef>
              <c:f>Tabelle1!$A$2:$A$4</c:f>
              <c:strCache>
                <c:ptCount val="3"/>
                <c:pt idx="0">
                  <c:v>23 years</c:v>
                </c:pt>
                <c:pt idx="1">
                  <c:v>24 years</c:v>
                </c:pt>
                <c:pt idx="2">
                  <c:v>25 years</c:v>
                </c:pt>
              </c:strCache>
            </c:strRef>
          </c:cat>
          <c:val>
            <c:numRef>
              <c:f>Tabelle1!$E$2:$E$4</c:f>
              <c:numCache>
                <c:formatCode>0.00%</c:formatCode>
                <c:ptCount val="3"/>
                <c:pt idx="0">
                  <c:v>3.2969990580002692E-3</c:v>
                </c:pt>
                <c:pt idx="1">
                  <c:v>2.7601992729231182E-3</c:v>
                </c:pt>
                <c:pt idx="2">
                  <c:v>3.2318879612173446E-3</c:v>
                </c:pt>
              </c:numCache>
            </c:numRef>
          </c:val>
          <c:extLst xmlns:c16r2="http://schemas.microsoft.com/office/drawing/2015/06/chart">
            <c:ext xmlns:c16="http://schemas.microsoft.com/office/drawing/2014/chart" uri="{C3380CC4-5D6E-409C-BE32-E72D297353CC}">
              <c16:uniqueId val="{00000003-F69E-45A9-9449-7F08C348C9EC}"/>
            </c:ext>
          </c:extLst>
        </c:ser>
        <c:dLbls>
          <c:dLblPos val="outEnd"/>
          <c:showLegendKey val="0"/>
          <c:showVal val="1"/>
          <c:showCatName val="0"/>
          <c:showSerName val="0"/>
          <c:showPercent val="0"/>
          <c:showBubbleSize val="0"/>
        </c:dLbls>
        <c:gapWidth val="219"/>
        <c:overlap val="-27"/>
        <c:axId val="132745952"/>
        <c:axId val="132779736"/>
      </c:barChart>
      <c:catAx>
        <c:axId val="132745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crossAx val="132779736"/>
        <c:crosses val="autoZero"/>
        <c:auto val="1"/>
        <c:lblAlgn val="ctr"/>
        <c:lblOffset val="100"/>
        <c:noMultiLvlLbl val="0"/>
      </c:catAx>
      <c:valAx>
        <c:axId val="132779736"/>
        <c:scaling>
          <c:orientation val="minMax"/>
          <c:max val="1.0000000000000002E-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crossAx val="1327459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de-DE"/>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800">
          <a:solidFill>
            <a:sysClr val="windowText" lastClr="000000"/>
          </a:solidFill>
        </a:defRPr>
      </a:pPr>
      <a:endParaRPr lang="de-DE"/>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ABC CUSTOM COLOR PALETTE">
    <a:dk1>
      <a:srgbClr val="636466"/>
    </a:dk1>
    <a:lt1>
      <a:srgbClr val="FFFFFF"/>
    </a:lt1>
    <a:dk2>
      <a:srgbClr val="00539B"/>
    </a:dk2>
    <a:lt2>
      <a:srgbClr val="7F7F7F"/>
    </a:lt2>
    <a:accent1>
      <a:srgbClr val="002551"/>
    </a:accent1>
    <a:accent2>
      <a:srgbClr val="6A8E37"/>
    </a:accent2>
    <a:accent3>
      <a:srgbClr val="720049"/>
    </a:accent3>
    <a:accent4>
      <a:srgbClr val="4B89A8"/>
    </a:accent4>
    <a:accent5>
      <a:srgbClr val="DBAF42"/>
    </a:accent5>
    <a:accent6>
      <a:srgbClr val="575859"/>
    </a:accent6>
    <a:hlink>
      <a:srgbClr val="00746D"/>
    </a:hlink>
    <a:folHlink>
      <a:srgbClr val="008BB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ABC CUSTOM COLOR PALETTE">
    <a:dk1>
      <a:srgbClr val="636466"/>
    </a:dk1>
    <a:lt1>
      <a:srgbClr val="FFFFFF"/>
    </a:lt1>
    <a:dk2>
      <a:srgbClr val="00539B"/>
    </a:dk2>
    <a:lt2>
      <a:srgbClr val="7F7F7F"/>
    </a:lt2>
    <a:accent1>
      <a:srgbClr val="002551"/>
    </a:accent1>
    <a:accent2>
      <a:srgbClr val="6A8E37"/>
    </a:accent2>
    <a:accent3>
      <a:srgbClr val="720049"/>
    </a:accent3>
    <a:accent4>
      <a:srgbClr val="4B89A8"/>
    </a:accent4>
    <a:accent5>
      <a:srgbClr val="DBAF42"/>
    </a:accent5>
    <a:accent6>
      <a:srgbClr val="575859"/>
    </a:accent6>
    <a:hlink>
      <a:srgbClr val="00746D"/>
    </a:hlink>
    <a:folHlink>
      <a:srgbClr val="008BB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ABC CUSTOM COLOR PALETTE">
    <a:dk1>
      <a:srgbClr val="636466"/>
    </a:dk1>
    <a:lt1>
      <a:srgbClr val="FFFFFF"/>
    </a:lt1>
    <a:dk2>
      <a:srgbClr val="00539B"/>
    </a:dk2>
    <a:lt2>
      <a:srgbClr val="7F7F7F"/>
    </a:lt2>
    <a:accent1>
      <a:srgbClr val="002551"/>
    </a:accent1>
    <a:accent2>
      <a:srgbClr val="6A8E37"/>
    </a:accent2>
    <a:accent3>
      <a:srgbClr val="720049"/>
    </a:accent3>
    <a:accent4>
      <a:srgbClr val="4B89A8"/>
    </a:accent4>
    <a:accent5>
      <a:srgbClr val="DBAF42"/>
    </a:accent5>
    <a:accent6>
      <a:srgbClr val="575859"/>
    </a:accent6>
    <a:hlink>
      <a:srgbClr val="00746D"/>
    </a:hlink>
    <a:folHlink>
      <a:srgbClr val="008BB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ABC CUSTOM COLOR PALETTE">
    <a:dk1>
      <a:srgbClr val="636466"/>
    </a:dk1>
    <a:lt1>
      <a:srgbClr val="FFFFFF"/>
    </a:lt1>
    <a:dk2>
      <a:srgbClr val="00539B"/>
    </a:dk2>
    <a:lt2>
      <a:srgbClr val="7F7F7F"/>
    </a:lt2>
    <a:accent1>
      <a:srgbClr val="002551"/>
    </a:accent1>
    <a:accent2>
      <a:srgbClr val="6A8E37"/>
    </a:accent2>
    <a:accent3>
      <a:srgbClr val="720049"/>
    </a:accent3>
    <a:accent4>
      <a:srgbClr val="4B89A8"/>
    </a:accent4>
    <a:accent5>
      <a:srgbClr val="DBAF42"/>
    </a:accent5>
    <a:accent6>
      <a:srgbClr val="575859"/>
    </a:accent6>
    <a:hlink>
      <a:srgbClr val="00746D"/>
    </a:hlink>
    <a:folHlink>
      <a:srgbClr val="008BB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937D6D0D</Template>
  <TotalTime>0</TotalTime>
  <Pages>4</Pages>
  <Words>487</Words>
  <Characters>3075</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Maren Kohlscheen</dc:creator>
  <cp:keywords/>
  <dc:description/>
  <cp:lastModifiedBy>Christian Jacob</cp:lastModifiedBy>
  <cp:revision>2</cp:revision>
  <dcterms:created xsi:type="dcterms:W3CDTF">2019-12-02T10:55:00Z</dcterms:created>
  <dcterms:modified xsi:type="dcterms:W3CDTF">2019-12-02T10:55:00Z</dcterms:modified>
</cp:coreProperties>
</file>